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2B7" w:rsidRDefault="00DD3DD7">
      <w:pPr>
        <w:ind w:firstLine="720"/>
      </w:pPr>
      <w:bookmarkStart w:id="0" w:name="_GoBack"/>
      <w:bookmarkEnd w:id="0"/>
      <w:r>
        <w:rPr>
          <w:noProof/>
        </w:rPr>
        <w:drawing>
          <wp:anchor distT="0" distB="0" distL="114300" distR="114300" simplePos="0" relativeHeight="251658240" behindDoc="0" locked="0" layoutInCell="1" allowOverlap="1">
            <wp:simplePos x="0" y="0"/>
            <wp:positionH relativeFrom="column">
              <wp:align>left</wp:align>
            </wp:positionH>
            <wp:positionV relativeFrom="paragraph">
              <wp:posOffset>-228600</wp:posOffset>
            </wp:positionV>
            <wp:extent cx="1533525" cy="904875"/>
            <wp:effectExtent l="0" t="0" r="9525" b="9525"/>
            <wp:wrapSquare wrapText="bothSides"/>
            <wp:docPr id="23" name="Picture 2" descr="Department for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for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3525" cy="904875"/>
                    </a:xfrm>
                    <a:prstGeom prst="rect">
                      <a:avLst/>
                    </a:prstGeom>
                    <a:noFill/>
                  </pic:spPr>
                </pic:pic>
              </a:graphicData>
            </a:graphic>
            <wp14:sizeRelH relativeFrom="page">
              <wp14:pctWidth>0</wp14:pctWidth>
            </wp14:sizeRelH>
            <wp14:sizeRelV relativeFrom="page">
              <wp14:pctHeight>0</wp14:pctHeight>
            </wp14:sizeRelV>
          </wp:anchor>
        </w:drawing>
      </w:r>
    </w:p>
    <w:p w:rsidR="00EE62B7" w:rsidRDefault="00EE62B7"/>
    <w:p w:rsidR="00EE62B7" w:rsidRDefault="00EE62B7"/>
    <w:p w:rsidR="00EE62B7" w:rsidRDefault="00EE62B7"/>
    <w:p w:rsidR="00EE62B7" w:rsidRDefault="00EE62B7"/>
    <w:p w:rsidR="00EE62B7" w:rsidRDefault="00EE62B7"/>
    <w:p w:rsidR="00EE62B7" w:rsidRDefault="00EE62B7"/>
    <w:tbl>
      <w:tblPr>
        <w:tblW w:w="5000" w:type="pct"/>
        <w:tblCellSpacing w:w="0" w:type="dxa"/>
        <w:tblCellMar>
          <w:top w:w="150" w:type="dxa"/>
          <w:left w:w="150" w:type="dxa"/>
          <w:bottom w:w="150" w:type="dxa"/>
          <w:right w:w="150" w:type="dxa"/>
        </w:tblCellMar>
        <w:tblLook w:val="00A0" w:firstRow="1" w:lastRow="0" w:firstColumn="1" w:lastColumn="0" w:noHBand="0" w:noVBand="0"/>
      </w:tblPr>
      <w:tblGrid>
        <w:gridCol w:w="8940"/>
      </w:tblGrid>
      <w:tr w:rsidR="00EE62B7">
        <w:trPr>
          <w:tblCellSpacing w:w="0" w:type="dxa"/>
        </w:trPr>
        <w:tc>
          <w:tcPr>
            <w:tcW w:w="0" w:type="auto"/>
            <w:vAlign w:val="center"/>
          </w:tcPr>
          <w:p w:rsidR="00EE62B7" w:rsidRDefault="00EE62B7">
            <w:pPr>
              <w:pStyle w:val="NormalWeb"/>
              <w:spacing w:line="276" w:lineRule="auto"/>
              <w:jc w:val="right"/>
              <w:rPr>
                <w:lang w:eastAsia="en-US"/>
              </w:rPr>
            </w:pPr>
            <w:r>
              <w:rPr>
                <w:b/>
                <w:bCs/>
                <w:lang w:eastAsia="en-US"/>
              </w:rPr>
              <w:t>Consultation Response Form</w:t>
            </w:r>
          </w:p>
          <w:p w:rsidR="00EE62B7" w:rsidRDefault="00EE62B7">
            <w:pPr>
              <w:pStyle w:val="NormalWeb"/>
              <w:spacing w:line="276" w:lineRule="auto"/>
              <w:jc w:val="right"/>
              <w:rPr>
                <w:lang w:eastAsia="en-US"/>
              </w:rPr>
            </w:pPr>
            <w:r>
              <w:rPr>
                <w:b/>
                <w:bCs/>
                <w:lang w:eastAsia="en-US"/>
              </w:rPr>
              <w:t>Consultation closing date: 11 October 2013</w:t>
            </w:r>
            <w:r>
              <w:rPr>
                <w:lang w:eastAsia="en-US"/>
              </w:rPr>
              <w:br/>
            </w:r>
            <w:r>
              <w:rPr>
                <w:b/>
                <w:lang w:eastAsia="en-US"/>
              </w:rPr>
              <w:t>Your comments must reach us by that date</w:t>
            </w:r>
          </w:p>
        </w:tc>
      </w:tr>
      <w:tr w:rsidR="00EE62B7">
        <w:trPr>
          <w:tblCellSpacing w:w="0" w:type="dxa"/>
        </w:trPr>
        <w:tc>
          <w:tcPr>
            <w:tcW w:w="0" w:type="auto"/>
            <w:vAlign w:val="center"/>
          </w:tcPr>
          <w:p w:rsidR="00EE62B7" w:rsidRDefault="00EE62B7">
            <w:pPr>
              <w:pStyle w:val="Heading1"/>
              <w:spacing w:line="276" w:lineRule="auto"/>
              <w:jc w:val="center"/>
              <w:rPr>
                <w:rFonts w:ascii="Calibri" w:hAnsi="Calibri"/>
                <w:lang w:eastAsia="en-US"/>
              </w:rPr>
            </w:pPr>
          </w:p>
          <w:p w:rsidR="00EE62B7" w:rsidRDefault="00EE62B7">
            <w:pPr>
              <w:pStyle w:val="Heading1"/>
              <w:spacing w:line="276" w:lineRule="auto"/>
              <w:jc w:val="center"/>
              <w:rPr>
                <w:rFonts w:ascii="Calibri" w:hAnsi="Calibri"/>
                <w:lang w:eastAsia="en-US"/>
              </w:rPr>
            </w:pPr>
          </w:p>
          <w:p w:rsidR="00EE62B7" w:rsidRDefault="00EE62B7">
            <w:pPr>
              <w:pStyle w:val="Heading1"/>
              <w:spacing w:line="276" w:lineRule="auto"/>
              <w:jc w:val="center"/>
              <w:rPr>
                <w:rFonts w:ascii="Calibri" w:hAnsi="Calibri"/>
                <w:lang w:eastAsia="en-US"/>
              </w:rPr>
            </w:pPr>
          </w:p>
          <w:p w:rsidR="00EE62B7" w:rsidRDefault="00EE62B7">
            <w:pPr>
              <w:pStyle w:val="Heading1"/>
              <w:spacing w:line="276" w:lineRule="auto"/>
              <w:jc w:val="center"/>
              <w:rPr>
                <w:rFonts w:ascii="Calibri" w:hAnsi="Calibri"/>
                <w:lang w:eastAsia="en-US"/>
              </w:rPr>
            </w:pPr>
            <w:r>
              <w:rPr>
                <w:rFonts w:ascii="Calibri" w:hAnsi="Calibri"/>
                <w:lang w:eastAsia="en-US"/>
              </w:rPr>
              <w:t>Primary assessment and accountability under the new national curriculum</w:t>
            </w:r>
          </w:p>
        </w:tc>
      </w:tr>
    </w:tbl>
    <w:p w:rsidR="00EE62B7" w:rsidRDefault="00EE62B7">
      <w:pPr>
        <w:sectPr w:rsidR="00EE62B7">
          <w:pgSz w:w="12240" w:h="15840"/>
          <w:pgMar w:top="1440" w:right="1800" w:bottom="1440" w:left="1800" w:header="720" w:footer="720" w:gutter="0"/>
          <w:cols w:space="708"/>
          <w:docGrid w:linePitch="360"/>
        </w:sectPr>
      </w:pPr>
    </w:p>
    <w:p w:rsidR="00EE62B7" w:rsidRDefault="00EE62B7">
      <w:pPr>
        <w:pStyle w:val="NormalWeb"/>
        <w:rPr>
          <w:b/>
          <w:bCs/>
        </w:rPr>
      </w:pPr>
      <w:r>
        <w:rPr>
          <w:b/>
          <w:bCs/>
        </w:rPr>
        <w:lastRenderedPageBreak/>
        <w:t xml:space="preserve">If you would prefer to respond online to this consultation please use the following link: </w:t>
      </w:r>
      <w:hyperlink r:id="rId8" w:history="1">
        <w:r w:rsidRPr="005E0D8F">
          <w:rPr>
            <w:rStyle w:val="Hyperlink"/>
            <w:rFonts w:cs="Arial"/>
            <w:b/>
            <w:bCs/>
          </w:rPr>
          <w:t>www.education.gov.uk/consultation/</w:t>
        </w:r>
      </w:hyperlink>
    </w:p>
    <w:p w:rsidR="00EE62B7" w:rsidRPr="007B3389" w:rsidRDefault="00EE62B7">
      <w:pPr>
        <w:pStyle w:val="NormalWeb"/>
        <w:rPr>
          <w:b/>
          <w:bCs/>
        </w:rPr>
      </w:pPr>
      <w:r>
        <w:rPr>
          <w:b/>
          <w:bCs/>
        </w:rPr>
        <w:br/>
      </w:r>
      <w:r>
        <w:t>Information provided in response to this consultation, including personal information, may be subject to publication or disclosure in accordance with the access to information regimes, primarily the Freedom of Information Act 2000 and the Data Protection Act 1998.</w:t>
      </w:r>
    </w:p>
    <w:p w:rsidR="00EE62B7" w:rsidRDefault="00EE62B7">
      <w:pPr>
        <w:pStyle w:val="NormalWeb"/>
      </w:pPr>
      <w:r>
        <w:t>If you want all, or any part, of your response to be treated as confidential, please explain why you consider it to be confidential.</w:t>
      </w:r>
    </w:p>
    <w:p w:rsidR="00EE62B7" w:rsidRDefault="00EE62B7">
      <w:pPr>
        <w:pStyle w:val="NormalWeb"/>
      </w:pPr>
      <w:r>
        <w:t>If a request for disclosure of the information you have provided is received, your explanation about why you consider it to be confidential will be taken into account, but no assurance can be given that confidentiality can be maintained. An automatic confidentiality disclaimer generated by your IT system will not, of itself, be regarded as binding on the Department.</w:t>
      </w:r>
    </w:p>
    <w:p w:rsidR="00EE62B7" w:rsidRDefault="00EE62B7">
      <w:pPr>
        <w:pStyle w:val="NormalWeb"/>
      </w:pPr>
      <w:r>
        <w:t>The Department will process your personal data (name and address and any other identifying material) in accordance with the Data Protection Act 1998, and in the majority of circumstances, this will mean that your personal data will not be disclosed to third parties.</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8940"/>
        <w:gridCol w:w="450"/>
      </w:tblGrid>
      <w:tr w:rsidR="00EE62B7">
        <w:trPr>
          <w:tblCellSpacing w:w="0" w:type="dxa"/>
        </w:trPr>
        <w:tc>
          <w:tcPr>
            <w:tcW w:w="0" w:type="auto"/>
            <w:tcBorders>
              <w:top w:val="outset" w:sz="6" w:space="0" w:color="000000"/>
              <w:bottom w:val="outset" w:sz="6" w:space="0" w:color="000000"/>
              <w:right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8889"/>
            </w:tblGrid>
            <w:tr w:rsidR="00EE62B7">
              <w:trPr>
                <w:trHeight w:val="450"/>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 name="Picture 1" descr="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xt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r>
                    <w:rPr>
                      <w:b/>
                      <w:bCs/>
                    </w:rPr>
                    <w:t>Please tick if you want us to keep your response confidential.</w:t>
                  </w:r>
                </w:p>
              </w:tc>
            </w:tr>
          </w:tbl>
          <w:p w:rsidR="00EE62B7" w:rsidRDefault="00EE62B7">
            <w:pPr>
              <w:rPr>
                <w:rFonts w:ascii="Times New Roman" w:hAnsi="Times New Roman" w:cs="Times New Roman"/>
              </w:rPr>
            </w:pPr>
          </w:p>
        </w:tc>
        <w:tc>
          <w:tcPr>
            <w:tcW w:w="450" w:type="dxa"/>
            <w:tcBorders>
              <w:top w:val="outset" w:sz="6" w:space="0" w:color="000000"/>
              <w:left w:val="outset" w:sz="6" w:space="0" w:color="000000"/>
              <w:bottom w:val="outset" w:sz="6" w:space="0" w:color="000000"/>
            </w:tcBorders>
            <w:vAlign w:val="center"/>
          </w:tcPr>
          <w:p w:rsidR="00EE62B7" w:rsidRDefault="00EE62B7">
            <w:pPr>
              <w:jc w:val="center"/>
            </w:pPr>
          </w:p>
        </w:tc>
      </w:tr>
      <w:tr w:rsidR="00EE62B7">
        <w:trPr>
          <w:tblCellSpacing w:w="0" w:type="dxa"/>
        </w:trPr>
        <w:tc>
          <w:tcPr>
            <w:tcW w:w="0" w:type="auto"/>
            <w:gridSpan w:val="2"/>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rHeight w:val="450"/>
                <w:tblCellSpacing w:w="0" w:type="dxa"/>
              </w:trPr>
              <w:tc>
                <w:tcPr>
                  <w:tcW w:w="15" w:type="dxa"/>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1419225"/>
                        <wp:effectExtent l="0" t="0" r="0" b="0"/>
                        <wp:docPr id="2" name="Picture 2" descr="Please specif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ease specif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 cy="1419225"/>
                                </a:xfrm>
                                <a:prstGeom prst="rect">
                                  <a:avLst/>
                                </a:prstGeom>
                                <a:noFill/>
                                <a:ln>
                                  <a:noFill/>
                                </a:ln>
                              </pic:spPr>
                            </pic:pic>
                          </a:graphicData>
                        </a:graphic>
                      </wp:inline>
                    </w:drawing>
                  </w:r>
                </w:p>
              </w:tc>
              <w:tc>
                <w:tcPr>
                  <w:tcW w:w="0" w:type="auto"/>
                </w:tcPr>
                <w:p w:rsidR="00EE62B7" w:rsidRDefault="00EE62B7">
                  <w:r>
                    <w:t xml:space="preserve">Reason for confidentiality: </w:t>
                  </w:r>
                </w:p>
              </w:tc>
            </w:tr>
          </w:tbl>
          <w:p w:rsidR="00EE62B7" w:rsidRDefault="00EE62B7">
            <w:pPr>
              <w:rPr>
                <w:rFonts w:ascii="Times New Roman" w:hAnsi="Times New Roman" w:cs="Times New Roman"/>
              </w:rPr>
            </w:pPr>
          </w:p>
        </w:tc>
      </w:tr>
    </w:tbl>
    <w:p w:rsidR="00EE62B7" w:rsidRDefault="00EE62B7">
      <w:pPr>
        <w:pStyle w:val="NormalWeb"/>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8927"/>
        <w:gridCol w:w="463"/>
      </w:tblGrid>
      <w:tr w:rsidR="00EE62B7">
        <w:trPr>
          <w:tblCellSpacing w:w="0" w:type="dxa"/>
        </w:trPr>
        <w:tc>
          <w:tcPr>
            <w:tcW w:w="0" w:type="auto"/>
            <w:gridSpan w:val="2"/>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rHeight w:val="450"/>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 name="Picture 3" descr="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xt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r>
                    <w:t>Name: Elizabeth Fitzpatrick</w:t>
                  </w:r>
                </w:p>
              </w:tc>
            </w:tr>
          </w:tbl>
          <w:p w:rsidR="00EE62B7" w:rsidRDefault="00EE62B7">
            <w:pPr>
              <w:rPr>
                <w:rFonts w:ascii="Times New Roman" w:hAnsi="Times New Roman" w:cs="Times New Roman"/>
              </w:rPr>
            </w:pPr>
          </w:p>
        </w:tc>
      </w:tr>
      <w:tr w:rsidR="00EE62B7">
        <w:trPr>
          <w:tblCellSpacing w:w="0" w:type="dxa"/>
        </w:trPr>
        <w:tc>
          <w:tcPr>
            <w:tcW w:w="0" w:type="auto"/>
            <w:tcBorders>
              <w:top w:val="outset" w:sz="6" w:space="0" w:color="000000"/>
              <w:bottom w:val="outset" w:sz="6" w:space="0" w:color="000000"/>
              <w:right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8876"/>
            </w:tblGrid>
            <w:tr w:rsidR="00EE62B7">
              <w:trPr>
                <w:trHeight w:val="450"/>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4" name="Picture 4" descr="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xt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r>
                    <w:t>Please tick if you are responding on behalf of your organisation.</w:t>
                  </w:r>
                </w:p>
              </w:tc>
            </w:tr>
          </w:tbl>
          <w:p w:rsidR="00EE62B7" w:rsidRDefault="00EE62B7">
            <w:pPr>
              <w:rPr>
                <w:rFonts w:ascii="Times New Roman" w:hAnsi="Times New Roman" w:cs="Times New Roman"/>
              </w:rPr>
            </w:pPr>
          </w:p>
        </w:tc>
        <w:tc>
          <w:tcPr>
            <w:tcW w:w="450" w:type="dxa"/>
            <w:tcBorders>
              <w:top w:val="outset" w:sz="6" w:space="0" w:color="000000"/>
              <w:left w:val="outset" w:sz="6" w:space="0" w:color="000000"/>
              <w:bottom w:val="outset" w:sz="6" w:space="0" w:color="000000"/>
            </w:tcBorders>
            <w:vAlign w:val="center"/>
          </w:tcPr>
          <w:p w:rsidR="00EE62B7" w:rsidRDefault="00EE62B7">
            <w:pPr>
              <w:jc w:val="center"/>
            </w:pPr>
            <w:r>
              <w:t>√</w:t>
            </w:r>
          </w:p>
        </w:tc>
      </w:tr>
      <w:tr w:rsidR="00EE62B7">
        <w:trPr>
          <w:tblCellSpacing w:w="0" w:type="dxa"/>
        </w:trPr>
        <w:tc>
          <w:tcPr>
            <w:tcW w:w="0" w:type="auto"/>
            <w:gridSpan w:val="2"/>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rHeight w:val="450"/>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 name="Picture 5" descr="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xt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r>
                    <w:t>Name of Organisation (if applicable): Wandsworth Children’s Services</w:t>
                  </w:r>
                </w:p>
              </w:tc>
            </w:tr>
          </w:tbl>
          <w:p w:rsidR="00EE62B7" w:rsidRDefault="00EE62B7">
            <w:pPr>
              <w:rPr>
                <w:rFonts w:ascii="Times New Roman" w:hAnsi="Times New Roman" w:cs="Times New Roman"/>
              </w:rPr>
            </w:pPr>
          </w:p>
        </w:tc>
      </w:tr>
      <w:tr w:rsidR="00EE62B7">
        <w:trPr>
          <w:tblCellSpacing w:w="0" w:type="dxa"/>
        </w:trPr>
        <w:tc>
          <w:tcPr>
            <w:tcW w:w="0" w:type="auto"/>
            <w:gridSpan w:val="2"/>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rHeight w:val="1350"/>
                <w:tblCellSpacing w:w="0" w:type="dxa"/>
              </w:trPr>
              <w:tc>
                <w:tcPr>
                  <w:tcW w:w="15" w:type="dxa"/>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73050"/>
                        <wp:effectExtent l="0" t="0" r="0" b="0"/>
                        <wp:docPr id="6" name="Picture 6" descr="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ext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35" cy="273050"/>
                                </a:xfrm>
                                <a:prstGeom prst="rect">
                                  <a:avLst/>
                                </a:prstGeom>
                                <a:noFill/>
                                <a:ln>
                                  <a:noFill/>
                                </a:ln>
                              </pic:spPr>
                            </pic:pic>
                          </a:graphicData>
                        </a:graphic>
                      </wp:inline>
                    </w:drawing>
                  </w:r>
                </w:p>
              </w:tc>
              <w:tc>
                <w:tcPr>
                  <w:tcW w:w="0" w:type="auto"/>
                </w:tcPr>
                <w:p w:rsidR="00EE62B7" w:rsidRDefault="00EE62B7">
                  <w:r>
                    <w:t>Address:</w:t>
                  </w:r>
                </w:p>
                <w:p w:rsidR="00EE62B7" w:rsidRDefault="00EE62B7">
                  <w:r w:rsidRPr="0080046D">
                    <w:t xml:space="preserve">Town Hall, </w:t>
                  </w:r>
                  <w:smartTag w:uri="urn:schemas-microsoft-com:office:smarttags" w:element="address">
                    <w:smartTag w:uri="urn:schemas-microsoft-com:office:smarttags" w:element="Street">
                      <w:smartTag w:uri="urn:schemas-microsoft-com:office:smarttags" w:element="address">
                        <w:smartTag w:uri="urn:schemas-microsoft-com:office:smarttags" w:element="Street">
                          <w:r w:rsidRPr="0080046D">
                            <w:t>Wandsworth High St</w:t>
                          </w:r>
                        </w:smartTag>
                      </w:smartTag>
                      <w:r w:rsidRPr="0080046D">
                        <w:t xml:space="preserve">, </w:t>
                      </w:r>
                      <w:smartTag w:uri="urn:schemas-microsoft-com:office:smarttags" w:element="City">
                        <w:r w:rsidRPr="0080046D">
                          <w:t>London</w:t>
                        </w:r>
                      </w:smartTag>
                    </w:smartTag>
                  </w:smartTag>
                  <w:r w:rsidRPr="0080046D">
                    <w:t xml:space="preserve">, Greater </w:t>
                  </w:r>
                  <w:smartTag w:uri="urn:schemas-microsoft-com:office:smarttags" w:element="City">
                    <w:smartTag w:uri="urn:schemas-microsoft-com:office:smarttags" w:element="place">
                      <w:r w:rsidRPr="0080046D">
                        <w:t>London</w:t>
                      </w:r>
                    </w:smartTag>
                  </w:smartTag>
                  <w:r w:rsidRPr="0080046D">
                    <w:t xml:space="preserve"> SW18 2PU</w:t>
                  </w:r>
                </w:p>
              </w:tc>
            </w:tr>
          </w:tbl>
          <w:p w:rsidR="00EE62B7" w:rsidRDefault="00EE62B7">
            <w:pPr>
              <w:rPr>
                <w:rFonts w:ascii="Times New Roman" w:hAnsi="Times New Roman" w:cs="Times New Roman"/>
              </w:rPr>
            </w:pPr>
          </w:p>
        </w:tc>
      </w:tr>
    </w:tbl>
    <w:p w:rsidR="00EE62B7" w:rsidRDefault="00EE62B7">
      <w:pPr>
        <w:pStyle w:val="NormalWeb"/>
      </w:pPr>
      <w:r>
        <w:lastRenderedPageBreak/>
        <w:t xml:space="preserve">If your enquiry is related to the DfE e-consultation website or the consultation process in general, you can contact the Ministerial and Public Communications Division by e-mail: </w:t>
      </w:r>
      <w:hyperlink r:id="rId12" w:history="1">
        <w:r w:rsidRPr="005E0D8F">
          <w:rPr>
            <w:rStyle w:val="Hyperlink"/>
            <w:rFonts w:cs="Arial"/>
          </w:rPr>
          <w:t>consultation.unit@education.gsi.gov.uk</w:t>
        </w:r>
      </w:hyperlink>
      <w:r>
        <w:t xml:space="preserve"> or by telephone: 0370 000 2288 or via the department's </w:t>
      </w:r>
      <w:hyperlink r:id="rId13" w:history="1">
        <w:r>
          <w:rPr>
            <w:rStyle w:val="Hyperlink"/>
            <w:rFonts w:cs="Arial"/>
          </w:rPr>
          <w:t>'Contact Us'</w:t>
        </w:r>
      </w:hyperlink>
      <w:r>
        <w:t xml:space="preserve"> page.</w:t>
      </w:r>
    </w:p>
    <w:p w:rsidR="00EE62B7" w:rsidRDefault="00EE62B7">
      <w:pPr>
        <w:rPr>
          <w:rFonts w:ascii="Times New Roman" w:hAnsi="Times New Roman" w:cs="Times New Roman"/>
        </w:rPr>
      </w:pPr>
      <w:r>
        <w:rPr>
          <w:rFonts w:ascii="Times New Roman" w:hAnsi="Times New Roman" w:cs="Times New Roman"/>
        </w:rPr>
        <w:br w:type="textWrapping" w:clear="all"/>
      </w:r>
    </w:p>
    <w:p w:rsidR="00EE62B7" w:rsidRDefault="00EE62B7">
      <w:pPr>
        <w:pStyle w:val="NormalWeb"/>
      </w:pPr>
      <w:r>
        <w:t>Please mark the box below that best describes you as a respondent.</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7" name="Picture 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Primary school head teacher</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8" name="Picture 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Primary school teacher</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9" name="Picture 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Secondary school head teacher</w:t>
            </w:r>
          </w:p>
        </w:tc>
      </w:tr>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0" name="Picture 1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Secondary school teacher</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1" name="Picture 1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Other education professional</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2" name="Picture 1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Local authority</w:t>
            </w:r>
          </w:p>
        </w:tc>
      </w:tr>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3" name="Picture 1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Governor</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4" name="Picture 1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Parent / carer</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5" name="Picture 1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Union / professional association</w:t>
            </w:r>
          </w:p>
        </w:tc>
      </w:tr>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6" name="Picture 1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Pupils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7" name="Picture 1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Other</w:t>
            </w:r>
          </w:p>
        </w:tc>
        <w:tc>
          <w:tcPr>
            <w:tcW w:w="0" w:type="auto"/>
            <w:shd w:val="clear" w:color="auto" w:fill="BBCBD3"/>
            <w:vAlign w:val="center"/>
          </w:tcPr>
          <w:p w:rsidR="00EE62B7" w:rsidRDefault="00EE62B7">
            <w:pPr>
              <w:rPr>
                <w:rFonts w:ascii="Calibri" w:hAnsi="Calibri" w:cs="Times New Roman"/>
                <w:sz w:val="20"/>
                <w:szCs w:val="20"/>
              </w:rPr>
            </w:pPr>
          </w:p>
        </w:tc>
        <w:tc>
          <w:tcPr>
            <w:tcW w:w="0" w:type="auto"/>
            <w:shd w:val="clear" w:color="auto" w:fill="BBCBD3"/>
            <w:vAlign w:val="center"/>
          </w:tcPr>
          <w:p w:rsidR="00EE62B7" w:rsidRDefault="00EE62B7">
            <w:pPr>
              <w:rPr>
                <w:rFonts w:ascii="Calibri" w:hAnsi="Calibri" w:cs="Times New Roman"/>
                <w:sz w:val="20"/>
                <w:szCs w:val="20"/>
              </w:rPr>
            </w:pP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1419225"/>
                        <wp:effectExtent l="0" t="0" r="0" b="0"/>
                        <wp:docPr id="18" name="Picture 18"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f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335" cy="1419225"/>
                                </a:xfrm>
                                <a:prstGeom prst="rect">
                                  <a:avLst/>
                                </a:prstGeom>
                                <a:noFill/>
                                <a:ln>
                                  <a:noFill/>
                                </a:ln>
                              </pic:spPr>
                            </pic:pic>
                          </a:graphicData>
                        </a:graphic>
                      </wp:inline>
                    </w:drawing>
                  </w:r>
                </w:p>
              </w:tc>
              <w:tc>
                <w:tcPr>
                  <w:tcW w:w="0" w:type="auto"/>
                </w:tcPr>
                <w:p w:rsidR="00EE62B7" w:rsidRDefault="00EE62B7">
                  <w:r>
                    <w:t>Please Specify:</w:t>
                  </w:r>
                </w:p>
                <w:p w:rsidR="00EE62B7" w:rsidRDefault="00EE62B7"/>
              </w:tc>
            </w:tr>
          </w:tbl>
          <w:p w:rsidR="00EE62B7" w:rsidRDefault="00EE62B7">
            <w:pPr>
              <w:rPr>
                <w:rFonts w:ascii="Times New Roman" w:hAnsi="Times New Roman" w:cs="Times New Roman"/>
              </w:rPr>
            </w:pPr>
          </w:p>
        </w:tc>
      </w:tr>
    </w:tbl>
    <w:p w:rsidR="00EE62B7" w:rsidRDefault="00EE62B7">
      <w:pPr>
        <w:rPr>
          <w:rFonts w:ascii="Times New Roman" w:hAnsi="Times New Roman" w:cs="Times New Roman"/>
        </w:rPr>
      </w:pPr>
      <w:r>
        <w:rPr>
          <w:rFonts w:ascii="Times New Roman" w:hAnsi="Times New Roman" w:cs="Times New Roman"/>
        </w:rPr>
        <w:br w:type="textWrapping" w:clear="all"/>
      </w: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rPr>
          <w:rFonts w:ascii="Times New Roman" w:hAnsi="Times New Roman" w:cs="Times New Roman"/>
        </w:rPr>
      </w:pPr>
    </w:p>
    <w:p w:rsidR="00EE62B7" w:rsidRDefault="00EE62B7">
      <w:pPr>
        <w:pStyle w:val="NormalWeb"/>
      </w:pPr>
      <w:r>
        <w:rPr>
          <w:rStyle w:val="Strong"/>
          <w:rFonts w:cs="Arial"/>
        </w:rPr>
        <w:lastRenderedPageBreak/>
        <w:t>Teacher assessment and reporting to parents</w:t>
      </w:r>
    </w:p>
    <w:p w:rsidR="00EE62B7" w:rsidRDefault="00EE62B7">
      <w:pPr>
        <w:pStyle w:val="NormalWeb"/>
      </w:pPr>
      <w:r>
        <w:t xml:space="preserve">1 </w:t>
      </w:r>
      <w:r>
        <w:rPr>
          <w:rStyle w:val="Strong"/>
          <w:rFonts w:cs="Arial"/>
        </w:rPr>
        <w:t xml:space="preserve">Will these principles underpin an effective curriculum and assessment system?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19" name="Picture 1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20" name="Picture 2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21" name="Picture 2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22" name="Picture 22"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sidP="00A25937">
                  <w:r>
                    <w:t xml:space="preserve">The Local Authority welcomes the clarity and straightforward nature of the statements that constitute the set of core principles, and which could underpin effective procedures in </w:t>
                  </w:r>
                  <w:r w:rsidRPr="00AA7E25">
                    <w:rPr>
                      <w:u w:val="single"/>
                    </w:rPr>
                    <w:t>individual</w:t>
                  </w:r>
                  <w:r>
                    <w:t xml:space="preserve"> primary schools.  Nevertheless, concerns remain.  The principles are insufficient to underpin a </w:t>
                  </w:r>
                  <w:r w:rsidRPr="00AA7E25">
                    <w:rPr>
                      <w:u w:val="single"/>
                    </w:rPr>
                    <w:t>national</w:t>
                  </w:r>
                  <w:r>
                    <w:t xml:space="preserve"> assessment </w:t>
                  </w:r>
                  <w:r w:rsidRPr="00AA7E25">
                    <w:t>system</w:t>
                  </w:r>
                  <w:r>
                    <w:t xml:space="preserve"> (as the question asks) because the proposals will remove the national and commonly understood set of criteria currently used (levels).  </w:t>
                  </w:r>
                </w:p>
                <w:p w:rsidR="00EE62B7" w:rsidRDefault="00EE62B7" w:rsidP="00A25937">
                  <w:r>
                    <w:t>Two great benefits of levels of attainment in relation to a national system of assessment are that they promote both greater consistency and also greater transparency of judgement, especially for new professionals and non-professionals.  The loss of levels will mean it will become very difficult for some teachers (especially those that are inexperienced) to understand and evaluate attainment and progress in between the ends of key stages.  This is likely to have a significantly negative impact on schools’ ability to monitor the progress of vulnerable groups of pupils in comparison to similar pupils in other schools and other parts of the country.</w:t>
                  </w:r>
                </w:p>
                <w:p w:rsidR="00EE62B7" w:rsidRDefault="00EE62B7" w:rsidP="00A25937">
                  <w:r>
                    <w:t>In addition, although school inspectors are likely to continue to be able to judge the appropriateness of attainment and progress even without a framework of levels, It will be increasingly difficult for their judgements to be understood by non-professionals without the common framework of levels of attainment.   The public’s confidence that inspectors are holding schools to account fairly for the achievement of their pupils, may then fall.</w:t>
                  </w:r>
                  <w:r w:rsidR="009034F3">
                    <w:t xml:space="preserve">  This is of particular concern at a time when teachers are going to be rewarded for the success of their pupils in external tests and examinations and there is therefore the need for even greater transparency and comparability of results across schools. </w:t>
                  </w:r>
                </w:p>
              </w:tc>
            </w:tr>
          </w:tbl>
          <w:p w:rsidR="00EE62B7" w:rsidRDefault="00EE62B7">
            <w:pPr>
              <w:rPr>
                <w:rFonts w:ascii="Times New Roman" w:hAnsi="Times New Roman" w:cs="Times New Roman"/>
              </w:rPr>
            </w:pPr>
          </w:p>
        </w:tc>
      </w:tr>
    </w:tbl>
    <w:tbl>
      <w:tblPr>
        <w:tblpPr w:leftFromText="180" w:rightFromText="180" w:vertAnchor="text" w:horzAnchor="margin" w:tblpY="736"/>
        <w:tblOverlap w:val="never"/>
        <w:tblW w:w="5000" w:type="pct"/>
        <w:tblCellSpacing w:w="0" w:type="dxa"/>
        <w:tblCellMar>
          <w:left w:w="0" w:type="dxa"/>
          <w:right w:w="0" w:type="dxa"/>
        </w:tblCellMar>
        <w:tblLook w:val="00A0" w:firstRow="1" w:lastRow="0" w:firstColumn="1" w:lastColumn="0" w:noHBand="0" w:noVBand="0"/>
      </w:tblPr>
      <w:tblGrid>
        <w:gridCol w:w="21"/>
        <w:gridCol w:w="9339"/>
      </w:tblGrid>
      <w:tr w:rsidR="00DD3DD7" w:rsidTr="00DD3DD7">
        <w:trPr>
          <w:tblCellSpacing w:w="0" w:type="dxa"/>
        </w:trPr>
        <w:tc>
          <w:tcPr>
            <w:tcW w:w="15" w:type="dxa"/>
            <w:vAlign w:val="center"/>
          </w:tcPr>
          <w:p w:rsidR="00DD3DD7" w:rsidRDefault="00DD3DD7" w:rsidP="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71" name="Picture 23"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DD3DD7" w:rsidRDefault="00DD3DD7" w:rsidP="00DD3DD7"/>
        </w:tc>
      </w:tr>
    </w:tbl>
    <w:p w:rsidR="00DD3DD7" w:rsidRDefault="00DD3DD7">
      <w:pPr>
        <w:pStyle w:val="NormalWeb"/>
      </w:pPr>
    </w:p>
    <w:p w:rsidR="00EE62B7" w:rsidRDefault="00EE62B7">
      <w:pPr>
        <w:pStyle w:val="NormalWeb"/>
      </w:pPr>
      <w:r>
        <w:lastRenderedPageBreak/>
        <w:t xml:space="preserve">2 a) </w:t>
      </w:r>
      <w:r>
        <w:rPr>
          <w:rStyle w:val="Strong"/>
          <w:rFonts w:cs="Arial"/>
        </w:rPr>
        <w:t xml:space="preserve">What other good examples of assessment practice we can share more widely?  </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p w:rsidR="00DD3DD7" w:rsidRDefault="00DD3DD7" w:rsidP="00DD3DD7">
            <w:r>
              <w:t>Comments:</w:t>
            </w:r>
          </w:p>
          <w:p w:rsidR="00DD3DD7" w:rsidRDefault="00DD3DD7" w:rsidP="00DD3DD7">
            <w:r>
              <w:t xml:space="preserve">There are a variety of sources for good examples of assessment practice.  </w:t>
            </w:r>
          </w:p>
          <w:p w:rsidR="00DD3DD7" w:rsidRDefault="00DD3DD7" w:rsidP="00DD3DD7">
            <w:pPr>
              <w:pStyle w:val="ListParagraph"/>
              <w:numPr>
                <w:ilvl w:val="0"/>
                <w:numId w:val="3"/>
              </w:numPr>
            </w:pPr>
            <w:r>
              <w:t xml:space="preserve">The knowledge and expertise that remains with many Local Authorities should be tapped into.  </w:t>
            </w:r>
          </w:p>
          <w:p w:rsidR="00DD3DD7" w:rsidRDefault="00DD3DD7" w:rsidP="00DD3DD7">
            <w:pPr>
              <w:pStyle w:val="ListParagraph"/>
              <w:numPr>
                <w:ilvl w:val="0"/>
                <w:numId w:val="3"/>
              </w:numPr>
            </w:pPr>
            <w:r>
              <w:t xml:space="preserve">The best assessment practices in schools, where the attainment of pupils is most rigorously and effectively assessed and tracked, can often be found where there is a higher proportion of vulnerable pupils.  These schools understand well the link between assessment and learning, and use that link effectively, but they are nevertheless sometimes not yet outstanding.  Even without this status, their expertise should not be overlooked.  </w:t>
            </w:r>
          </w:p>
          <w:p w:rsidR="00EE62B7" w:rsidRDefault="00DD3DD7" w:rsidP="00DD3DD7">
            <w:pPr>
              <w:rPr>
                <w:rFonts w:ascii="Times New Roman" w:hAnsi="Times New Roman" w:cs="Times New Roman"/>
              </w:rPr>
            </w:pPr>
            <w:r>
              <w:t>Whichever good examples are used, it will be important to ensure that there is a consistency of rigour and approach to assessment.  Without such consistency, once again the ability of external professionals to hold schools to account will be diminished, and, most importantly, some pupils may risk falling behind or be insufficiently challenged because the systems are not effective at identifying their needs.</w:t>
            </w:r>
          </w:p>
        </w:tc>
      </w:tr>
    </w:tbl>
    <w:p w:rsidR="00EE62B7" w:rsidRDefault="00EE62B7">
      <w:pPr>
        <w:pStyle w:val="NormalWeb"/>
      </w:pPr>
    </w:p>
    <w:p w:rsidR="00EE62B7" w:rsidRDefault="00EE62B7">
      <w:pPr>
        <w:pStyle w:val="NormalWeb"/>
      </w:pPr>
    </w:p>
    <w:p w:rsidR="00EE62B7" w:rsidRDefault="00EE62B7">
      <w:pPr>
        <w:pStyle w:val="NormalWeb"/>
      </w:pPr>
    </w:p>
    <w:p w:rsidR="00EE62B7" w:rsidRDefault="00EE62B7">
      <w:pPr>
        <w:pStyle w:val="NormalWeb"/>
      </w:pPr>
      <w:r>
        <w:t xml:space="preserve">2 b) </w:t>
      </w:r>
      <w:r>
        <w:rPr>
          <w:rStyle w:val="Strong"/>
          <w:rFonts w:cs="Arial"/>
        </w:rPr>
        <w:t>Is there additional support we can provide for schools?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24" name="Picture 2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25" name="Picture 2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26" name="Picture 2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27" name="Picture 27"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
                    <w:t>Some LAs retain the capacity to support schools with developing effective assessment systems, not least because they have retained statutory functions around end of key stage assessments.  This capacity will be invaluable to ensure that schools assess their pupils accurately at all points, and not just at the end of key stages.</w:t>
                  </w:r>
                </w:p>
              </w:tc>
            </w:tr>
          </w:tbl>
          <w:p w:rsidR="00EE62B7" w:rsidRDefault="00EE62B7">
            <w:pPr>
              <w:rPr>
                <w:rFonts w:ascii="Times New Roman" w:hAnsi="Times New Roman" w:cs="Times New Roman"/>
              </w:rPr>
            </w:pPr>
          </w:p>
        </w:tc>
      </w:tr>
    </w:tbl>
    <w:p w:rsidR="00EE62B7" w:rsidRDefault="00EE62B7">
      <w:pPr>
        <w:pStyle w:val="NormalWeb"/>
      </w:pPr>
      <w:r>
        <w:rPr>
          <w:rStyle w:val="Strong"/>
          <w:rFonts w:cs="Arial"/>
        </w:rPr>
        <w:lastRenderedPageBreak/>
        <w:t>National curriculum tests in English, mathematics and science</w:t>
      </w:r>
    </w:p>
    <w:p w:rsidR="00EE62B7" w:rsidRDefault="00EE62B7">
      <w:pPr>
        <w:pStyle w:val="NormalWeb"/>
      </w:pPr>
      <w:r>
        <w:t xml:space="preserve">3 </w:t>
      </w:r>
      <w:r>
        <w:rPr>
          <w:rStyle w:val="Strong"/>
          <w:rFonts w:cs="Arial"/>
        </w:rPr>
        <w:t>Does a scaled score, decile ranking and value-added measure provide useful information from national curriculum tests?</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28" name="Picture 2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29" name="Picture 2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0" name="Picture 3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31" name="Picture 31"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
                    <w:t>The best assessment practices, using levels, when combined with effective communication strategies, can already provide parents and teachers with good and clear information about the attainment and progress of pupils.  Likewise, there is also some very poor current practice, using the same information as a basis.  The implementation of a new decile ranking system in and of itself will not necessarily improve the provision of information.  Parents will still need to be supported to interpret the information about their children, especially with regard to progress.  For the new system to work, the sharing of best practice regarding how such information might be communicated effectively to parents, and how it could be used to plan for pupils’ next steps, would be critical.</w:t>
                  </w:r>
                </w:p>
                <w:p w:rsidR="00EE62B7" w:rsidRDefault="00EE62B7">
                  <w:r>
                    <w:t>The phrase ‘secondary ready’ has caused much consternation amongst schools consulted with in the LA.  For a pupil to be labelled as not ‘secondary ready’, whatever the progress they have made in comparison with their starting point,  is potentially extremely demotivating.</w:t>
                  </w:r>
                </w:p>
              </w:tc>
            </w:tr>
          </w:tbl>
          <w:p w:rsidR="00EE62B7" w:rsidRDefault="00EE62B7">
            <w:pPr>
              <w:rPr>
                <w:rFonts w:ascii="Times New Roman" w:hAnsi="Times New Roman" w:cs="Times New Roman"/>
              </w:rPr>
            </w:pPr>
          </w:p>
        </w:tc>
      </w:tr>
    </w:tbl>
    <w:p w:rsidR="00EE62B7" w:rsidRDefault="00EE62B7">
      <w:pPr>
        <w:pStyle w:val="NormalWeb"/>
        <w:rPr>
          <w:rStyle w:val="Strong"/>
          <w:rFonts w:cs="Arial"/>
        </w:rPr>
      </w:pPr>
    </w:p>
    <w:p w:rsidR="00EE62B7" w:rsidRDefault="00EE62B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EE62B7" w:rsidRDefault="00EE62B7">
      <w:pPr>
        <w:pStyle w:val="NormalWeb"/>
      </w:pPr>
      <w:r>
        <w:rPr>
          <w:rStyle w:val="Strong"/>
          <w:rFonts w:cs="Arial"/>
        </w:rPr>
        <w:t>Baselines to measure progress</w:t>
      </w:r>
    </w:p>
    <w:p w:rsidR="00EE62B7" w:rsidRDefault="00EE62B7">
      <w:pPr>
        <w:pStyle w:val="NormalWeb"/>
      </w:pPr>
      <w:r>
        <w:t xml:space="preserve">4 </w:t>
      </w:r>
      <w:r>
        <w:rPr>
          <w:rStyle w:val="Strong"/>
          <w:rFonts w:cs="Arial"/>
        </w:rPr>
        <w:t xml:space="preserve">Should we continue to measure progress from the end of key stage 1, using internally-marked national curriculum tests?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2" name="Picture 3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3" name="Picture 3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4" name="Picture 3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35" name="Picture 35"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sidP="009B0B24">
                  <w:r>
                    <w:t>Measuring progress from the end of KS1 is welcomed, but the exclusive use of test information (as opposed to more rounded teacher assessment judgements) should be approached with caution.  Since the introduction of teacher assessment, informed by test and task outcomes, as the vehicle for judging pupil achievement at the end of KS1, the accuracy of reporting this achievement has improved.  For example, where a pupil has just slipped into a certain level on the basis of a test, attainment which is not supported by their work on a day to day basis as yet, the reporting of the slightly lower teacher assessment judgement has stood them in better stead when teachers have planned for their next steps in year 3.  Similarly, where a pupil has underperformed on the day of the test through illness it has been possible to report the more accurate, higher level.</w:t>
                  </w:r>
                </w:p>
                <w:p w:rsidR="00EE62B7" w:rsidRDefault="00EE62B7" w:rsidP="009B0B24">
                  <w:r>
                    <w:t>Also, importantly, the statutory requirement to engage in moderation activities at KS1 has improved teachers’ understanding of progression and planning for pupils’ next steps in a way that the sharing of a test mark does not do.</w:t>
                  </w:r>
                </w:p>
              </w:tc>
            </w:tr>
          </w:tbl>
          <w:p w:rsidR="00EE62B7" w:rsidRDefault="00EE62B7">
            <w:pPr>
              <w:rPr>
                <w:rFonts w:ascii="Times New Roman" w:hAnsi="Times New Roman" w:cs="Times New Roman"/>
              </w:rPr>
            </w:pPr>
          </w:p>
        </w:tc>
      </w:tr>
    </w:tbl>
    <w:p w:rsidR="00EE62B7" w:rsidRDefault="00EE62B7">
      <w:pPr>
        <w:pStyle w:val="NormalWeb"/>
      </w:pPr>
      <w:r>
        <w:t xml:space="preserve">5 </w:t>
      </w:r>
      <w:r>
        <w:rPr>
          <w:rStyle w:val="Strong"/>
          <w:rFonts w:cs="Arial"/>
        </w:rPr>
        <w:t xml:space="preserve">If end of key stage 1 national curriculum test results are used as the baseline to measure progress, should school-level results be published?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6" name="Picture 3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7" name="Picture 3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38" name="Picture 3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39" name="Picture 39"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
                    <w:t>The reporting of a school’s overall KS1 assessment outcomes would be useful:</w:t>
                  </w:r>
                </w:p>
                <w:p w:rsidR="00EE62B7" w:rsidRDefault="00EE62B7" w:rsidP="00B03A72">
                  <w:pPr>
                    <w:pStyle w:val="ListParagraph"/>
                    <w:numPr>
                      <w:ilvl w:val="0"/>
                      <w:numId w:val="4"/>
                    </w:numPr>
                  </w:pPr>
                  <w:r>
                    <w:t>To provide a useful comparison for parents when they look at their child’s individual attainment.</w:t>
                  </w:r>
                </w:p>
                <w:p w:rsidR="00EE62B7" w:rsidRDefault="00EE62B7" w:rsidP="00B03A72">
                  <w:pPr>
                    <w:pStyle w:val="ListParagraph"/>
                    <w:numPr>
                      <w:ilvl w:val="0"/>
                      <w:numId w:val="4"/>
                    </w:numPr>
                  </w:pPr>
                  <w:r>
                    <w:t>To provide another measure for school accountability purposes.</w:t>
                  </w:r>
                </w:p>
                <w:p w:rsidR="00EE62B7" w:rsidRDefault="00EE62B7" w:rsidP="00B03A72"/>
                <w:p w:rsidR="00EE62B7" w:rsidRDefault="00EE62B7" w:rsidP="00B03A72">
                  <w:r>
                    <w:t>Reporting progress at the end of KS2 in relation to KS1 attainment would also provide a more accurate picture than judging progress between the beginning of Reception year and the end of KS2.  Any test carried out in the Reception year is liable to produce flawed results because the pupils are still so young.</w:t>
                  </w:r>
                </w:p>
                <w:p w:rsidR="00EE62B7" w:rsidRDefault="00EE62B7" w:rsidP="00B03A72"/>
                <w:p w:rsidR="00EE62B7" w:rsidRDefault="00EE62B7" w:rsidP="00D84A9E">
                  <w:r>
                    <w:t>Nevertheless, the publishing of these outcomes might result in the rank ordering of schools in performance tables for KS1 as well as KS2 outcomes.  Publishing in this way might not be helpful, and cause successful schools to be ranked at an unfairly low level.  This could be the case in schools where pupils come in with low levels of English (whether because of deprivation, or because English is not their first language, or both), where pupils make good progress in relation to their starting point which would not be recognised.</w:t>
                  </w:r>
                </w:p>
              </w:tc>
            </w:tr>
          </w:tbl>
          <w:p w:rsidR="00EE62B7" w:rsidRDefault="00EE62B7">
            <w:pPr>
              <w:rPr>
                <w:rFonts w:ascii="Times New Roman" w:hAnsi="Times New Roman" w:cs="Times New Roman"/>
              </w:rPr>
            </w:pPr>
          </w:p>
        </w:tc>
      </w:tr>
    </w:tbl>
    <w:p w:rsidR="00EE62B7" w:rsidRDefault="00EE62B7">
      <w:pPr>
        <w:pStyle w:val="NormalWeb"/>
      </w:pPr>
    </w:p>
    <w:p w:rsidR="00EE62B7" w:rsidRDefault="00EE62B7">
      <w:pPr>
        <w:pStyle w:val="NormalWeb"/>
      </w:pPr>
      <w:r>
        <w:t xml:space="preserve">6 </w:t>
      </w:r>
      <w:r>
        <w:rPr>
          <w:rStyle w:val="Strong"/>
          <w:rFonts w:cs="Arial"/>
        </w:rPr>
        <w:t xml:space="preserve">Should we introduce a baseline check at the start of reception?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40" name="Picture 4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41" name="Picture 4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42" name="Picture 4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43" name="Picture 43"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sidP="00DA0BDC">
                  <w:r w:rsidRPr="00DA0BDC">
                    <w:t>A formal Baseline is about the comparison of all pupils’ or groups of pupils’ progress rather than individuals.  For this reason a formal baseline should be undertaken at an age when pupils have had the opportunity to gain sufficient basic language skills to undertake the assessment – that is, at age 7.</w:t>
                  </w:r>
                  <w:r>
                    <w:t xml:space="preserve">  There should however be some form of national assessment process at some point in the Early Years.  This would support a school accountability framework for KS1, identifying progress across this Key Stage, as well as KS2.  Breaking up the measurement of progress in this way would also help to ensure that pupil progress is more even across the school, and that school efforts to achieve at least good levels of progress by Year 6 are not overly focused on the end of KS2.  This would be especially important if there is no clear, nationally understood, measure of attainment in each year group, which the removal of levels would engender.</w:t>
                  </w:r>
                </w:p>
              </w:tc>
            </w:tr>
          </w:tbl>
          <w:p w:rsidR="00EE62B7" w:rsidRDefault="00EE62B7">
            <w:pPr>
              <w:rPr>
                <w:rFonts w:ascii="Times New Roman" w:hAnsi="Times New Roman" w:cs="Times New Roman"/>
              </w:rPr>
            </w:pPr>
          </w:p>
        </w:tc>
      </w:tr>
    </w:tbl>
    <w:p w:rsidR="00DD3DD7" w:rsidRDefault="00DD3DD7">
      <w:pPr>
        <w:pStyle w:val="NormalWeb"/>
      </w:pPr>
    </w:p>
    <w:p w:rsidR="00DD3DD7" w:rsidRDefault="00DD3DD7">
      <w:pPr>
        <w:pStyle w:val="NormalWeb"/>
      </w:pPr>
    </w:p>
    <w:p w:rsidR="00DD3DD7" w:rsidRDefault="00DD3DD7">
      <w:pPr>
        <w:pStyle w:val="NormalWeb"/>
      </w:pPr>
    </w:p>
    <w:p w:rsidR="00DD3DD7" w:rsidRDefault="00DD3DD7">
      <w:pPr>
        <w:pStyle w:val="NormalWeb"/>
      </w:pPr>
    </w:p>
    <w:p w:rsidR="00DD3DD7" w:rsidRDefault="00DD3DD7">
      <w:pPr>
        <w:pStyle w:val="NormalWeb"/>
      </w:pPr>
    </w:p>
    <w:p w:rsidR="00DD3DD7" w:rsidRDefault="00DD3DD7">
      <w:pPr>
        <w:pStyle w:val="NormalWeb"/>
      </w:pPr>
    </w:p>
    <w:p w:rsidR="00DD3DD7" w:rsidRDefault="00DD3DD7">
      <w:pPr>
        <w:pStyle w:val="NormalWeb"/>
      </w:pPr>
    </w:p>
    <w:p w:rsidR="00DD3DD7" w:rsidRDefault="00DD3DD7">
      <w:pPr>
        <w:pStyle w:val="NormalWeb"/>
      </w:pPr>
    </w:p>
    <w:p w:rsidR="00DD3DD7" w:rsidRDefault="00DD3DD7">
      <w:pPr>
        <w:pStyle w:val="NormalWeb"/>
      </w:pPr>
    </w:p>
    <w:p w:rsidR="00EE62B7" w:rsidRDefault="00EE62B7">
      <w:pPr>
        <w:pStyle w:val="NormalWeb"/>
      </w:pPr>
      <w:r>
        <w:t xml:space="preserve">7 </w:t>
      </w:r>
      <w:r>
        <w:rPr>
          <w:rStyle w:val="Strong"/>
          <w:rFonts w:cs="Arial"/>
        </w:rPr>
        <w:t xml:space="preserve">Should we allow schools to choose from a range of commercially-available assessments?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89" name="Picture 4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90" name="Picture 4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91" name="Picture 46"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96" name="Picture 47"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sidP="00D84A9E">
                  <w:r>
                    <w:t>Of critical importance to the success of such assessment would be the establishment and implementation of rigorous quality standards to which such commercially-available assessments must adhere.  Without such standards, there is the risk that schools could waste significant amounts of money on assessments which provide them with inaccurate information.</w:t>
                  </w:r>
                </w:p>
                <w:p w:rsidR="00EE62B7" w:rsidRDefault="00EE62B7" w:rsidP="000650C7">
                  <w:r>
                    <w:t>Such assessments may focus on testing pupil attainment, to the exclusion of teacher assessment.  The development of teacher assessment in all year groups will be important to ensure teachers develop an understanding of pupil progression in relation to the new programmes of study.  The standardisation and moderation of teacher assessment would also be important in order to generate a consistency of approach.</w:t>
                  </w:r>
                </w:p>
              </w:tc>
            </w:tr>
          </w:tbl>
          <w:p w:rsidR="00EE62B7" w:rsidRDefault="00EE62B7">
            <w:pPr>
              <w:rPr>
                <w:rFonts w:ascii="Times New Roman" w:hAnsi="Times New Roman" w:cs="Times New Roman"/>
              </w:rPr>
            </w:pPr>
          </w:p>
        </w:tc>
      </w:tr>
    </w:tbl>
    <w:p w:rsidR="00EE62B7" w:rsidRDefault="00EE62B7">
      <w:pPr>
        <w:pStyle w:val="NormalWeb"/>
      </w:pPr>
    </w:p>
    <w:p w:rsidR="00EE62B7" w:rsidRDefault="00EE62B7">
      <w:pPr>
        <w:pStyle w:val="NormalWeb"/>
      </w:pPr>
    </w:p>
    <w:p w:rsidR="00EE62B7" w:rsidRDefault="00EE62B7">
      <w:pPr>
        <w:pStyle w:val="NormalWeb"/>
      </w:pPr>
    </w:p>
    <w:p w:rsidR="00EE62B7" w:rsidRDefault="00EE62B7">
      <w:pPr>
        <w:pStyle w:val="NormalWeb"/>
      </w:pPr>
      <w:r>
        <w:t xml:space="preserve">8 </w:t>
      </w:r>
      <w:r>
        <w:rPr>
          <w:rStyle w:val="Strong"/>
          <w:rFonts w:cs="Arial"/>
        </w:rPr>
        <w:t>Should we make the baseline check optional?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48" name="Picture 4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49" name="Picture 4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0" name="Picture 50"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51" name="Picture 51"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
                    <w:t>If the implementation of a baseline check results in the EYFS profile data becoming non-statutory, then no, because it will be important for schools to have at least some measure of pupil achievement in the Early Years.</w:t>
                  </w:r>
                </w:p>
              </w:tc>
            </w:tr>
          </w:tbl>
          <w:p w:rsidR="00EE62B7" w:rsidRDefault="00EE62B7">
            <w:pPr>
              <w:rPr>
                <w:rFonts w:ascii="Times New Roman" w:hAnsi="Times New Roman" w:cs="Times New Roman"/>
              </w:rPr>
            </w:pPr>
          </w:p>
        </w:tc>
      </w:tr>
    </w:tbl>
    <w:p w:rsidR="00EE62B7" w:rsidRDefault="00EE62B7">
      <w:pPr>
        <w:pStyle w:val="NormalWeb"/>
      </w:pPr>
      <w:r>
        <w:rPr>
          <w:rStyle w:val="Strong"/>
          <w:rFonts w:cs="Arial"/>
        </w:rPr>
        <w:t>Accountability</w:t>
      </w:r>
    </w:p>
    <w:p w:rsidR="00EE62B7" w:rsidRDefault="00EE62B7">
      <w:pPr>
        <w:pStyle w:val="NormalWeb"/>
      </w:pPr>
      <w:r>
        <w:t xml:space="preserve">9 </w:t>
      </w:r>
      <w:r>
        <w:rPr>
          <w:rStyle w:val="Strong"/>
          <w:rFonts w:cs="Arial"/>
        </w:rPr>
        <w:t>Do you have any comments about these proposals for the Department’s floor standards?</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52" name="Picture 52"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sidP="006E4325">
                  <w:r>
                    <w:t xml:space="preserve">Whilst the Local Authority very much supports the drive to continue to raise standards in the primary phase that is represented by the move to 85% at the expected level, this figure is very high.  </w:t>
                  </w:r>
                </w:p>
                <w:p w:rsidR="00EE62B7" w:rsidRDefault="00EE62B7" w:rsidP="006E4325">
                  <w:r>
                    <w:t>The first point to make about this figure is that, because it will derive from a scaled set of marks, the scaling factor could be changed year on year and therefore it is a less consistent figure than one based on published levels of attainment.</w:t>
                  </w:r>
                </w:p>
                <w:p w:rsidR="00EE62B7" w:rsidRDefault="00EE62B7" w:rsidP="006E4325">
                  <w:r>
                    <w:t>However, given that, Wandsworth Council’s view is that as a high attaining Local Authority, with 85% of pupils attaining Level 4 or above in the combined English and mathematics indicator in 2012, a figure which placed the LA 4</w:t>
                  </w:r>
                  <w:r w:rsidRPr="006E4325">
                    <w:rPr>
                      <w:vertAlign w:val="superscript"/>
                    </w:rPr>
                    <w:t>th</w:t>
                  </w:r>
                  <w:r>
                    <w:t xml:space="preserve"> out of 155 LAs in that year, this will be very challenging indeed for a significant proportion of Wandsworth’s high performing schools (93% are currently judged to be good or better).  This will particularly be the case if the 85% refers to a pass mark which is the equivalent of a Level 4B currently (the ‘secondary ready’ indicator).  It will be important for the progress measures, using KS1 as a baseline, to be retained.</w:t>
                  </w:r>
                </w:p>
              </w:tc>
            </w:tr>
          </w:tbl>
          <w:p w:rsidR="00EE62B7" w:rsidRDefault="00EE62B7">
            <w:pPr>
              <w:rPr>
                <w:rFonts w:ascii="Times New Roman" w:hAnsi="Times New Roman" w:cs="Times New Roman"/>
              </w:rPr>
            </w:pPr>
          </w:p>
        </w:tc>
      </w:tr>
    </w:tbl>
    <w:p w:rsidR="00EE62B7" w:rsidRDefault="00EE62B7">
      <w:pPr>
        <w:pStyle w:val="NormalWeb"/>
      </w:pPr>
      <w:r>
        <w:t xml:space="preserve">10 </w:t>
      </w:r>
      <w:r>
        <w:rPr>
          <w:rStyle w:val="Strong"/>
          <w:rFonts w:cs="Arial"/>
        </w:rPr>
        <w:t xml:space="preserve">If we take a baseline from the start of reception, should end of key stage 1 national curriculum tests become non-statutory for all-through primary schools? </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3" name="Picture 5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4" name="Picture 54"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5" name="Picture 55"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56" name="Picture 56"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
                    <w:t xml:space="preserve">Measuring progress across each Key Stage is important, not just across the whole school, in order to ensure  that pupil progress is more even across the school, and that school efforts to achieve at least good levels of progress by Year 6 are not overly focused on the end of KS2.  </w:t>
                  </w:r>
                </w:p>
              </w:tc>
            </w:tr>
          </w:tbl>
          <w:p w:rsidR="00EE62B7" w:rsidRDefault="00EE62B7">
            <w:pPr>
              <w:rPr>
                <w:rFonts w:ascii="Times New Roman" w:hAnsi="Times New Roman" w:cs="Times New Roman"/>
              </w:rPr>
            </w:pPr>
          </w:p>
        </w:tc>
      </w:tr>
    </w:tbl>
    <w:p w:rsidR="00DD3DD7" w:rsidRDefault="00DD3DD7">
      <w:pPr>
        <w:pStyle w:val="NormalWeb"/>
      </w:pPr>
    </w:p>
    <w:p w:rsidR="00DD3DD7" w:rsidRDefault="00DD3DD7">
      <w:pPr>
        <w:pStyle w:val="NormalWeb"/>
      </w:pPr>
    </w:p>
    <w:p w:rsidR="00EE62B7" w:rsidRDefault="00EE62B7">
      <w:pPr>
        <w:pStyle w:val="NormalWeb"/>
      </w:pPr>
      <w:r>
        <w:t xml:space="preserve">11 </w:t>
      </w:r>
      <w:r>
        <w:rPr>
          <w:rStyle w:val="Strong"/>
          <w:rFonts w:cs="Arial"/>
        </w:rPr>
        <w:t>Should we include an average point score measure in floor standards?</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7" name="Picture 57"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8" name="Picture 5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59" name="Picture 5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60" name="Picture 60"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sidP="006E4325">
                  <w:r>
                    <w:t>This would ensure that the achievement of higher attaining pupils is recognised.  The reporting of the proportion of pupils attaining a higher standard (equivalent to the current Level 5) might ensure that this is recognised more effectively.</w:t>
                  </w:r>
                </w:p>
              </w:tc>
            </w:tr>
          </w:tbl>
          <w:p w:rsidR="00EE62B7" w:rsidRDefault="00EE62B7">
            <w:pPr>
              <w:rPr>
                <w:rFonts w:ascii="Times New Roman" w:hAnsi="Times New Roman" w:cs="Times New Roman"/>
              </w:rPr>
            </w:pPr>
          </w:p>
        </w:tc>
      </w:tr>
    </w:tbl>
    <w:p w:rsidR="00EE62B7" w:rsidRDefault="00EE62B7">
      <w:pPr>
        <w:pStyle w:val="NormalWeb"/>
      </w:pPr>
      <w:r>
        <w:t xml:space="preserve">12 </w:t>
      </w:r>
      <w:r>
        <w:rPr>
          <w:rStyle w:val="Strong"/>
          <w:rFonts w:cs="Arial"/>
        </w:rPr>
        <w:t>Are there any other measures we should prioritise in performance tables?</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2524"/>
        <w:gridCol w:w="616"/>
        <w:gridCol w:w="2524"/>
        <w:gridCol w:w="616"/>
        <w:gridCol w:w="2524"/>
      </w:tblGrid>
      <w:tr w:rsidR="00EE62B7">
        <w:trPr>
          <w:tblCellSpacing w:w="0" w:type="dxa"/>
        </w:trPr>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61" name="Picture 61"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Yes</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62" name="Picture 62"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w:t>
            </w:r>
          </w:p>
        </w:tc>
        <w:tc>
          <w:tcPr>
            <w:tcW w:w="450" w:type="dxa"/>
            <w:shd w:val="clear" w:color="auto" w:fill="BBCBD3"/>
            <w:vAlign w:val="center"/>
          </w:tcPr>
          <w:tbl>
            <w:tblPr>
              <w:tblW w:w="450" w:type="dxa"/>
              <w:jc w:val="righ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right"/>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63" name="Picture 63"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right"/>
              <w:rPr>
                <w:rFonts w:ascii="Times New Roman" w:hAnsi="Times New Roman" w:cs="Times New Roman"/>
              </w:rPr>
            </w:pPr>
          </w:p>
        </w:tc>
        <w:tc>
          <w:tcPr>
            <w:tcW w:w="1500" w:type="pct"/>
            <w:shd w:val="clear" w:color="auto" w:fill="BBCBD3"/>
            <w:vAlign w:val="center"/>
          </w:tcPr>
          <w:p w:rsidR="00EE62B7" w:rsidRDefault="00EE62B7">
            <w:r>
              <w:t>Not Sure</w:t>
            </w:r>
          </w:p>
        </w:tc>
      </w:tr>
    </w:tbl>
    <w:p w:rsidR="00EE62B7" w:rsidRDefault="00EE62B7">
      <w:pPr>
        <w:rPr>
          <w:rFonts w:ascii="Times New Roman" w:hAnsi="Times New Roman" w:cs="Times New Roman"/>
        </w:rPr>
      </w:pP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64" name="Picture 64"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sidP="009F7D46">
                  <w:r>
                    <w:t>Instead of reporting the APS figure of a school, the reporting of the proportion of pupils attaining a higher standard (equivalent to the current Level 5) might ensure that the achievement of higher attaining pupils is recognised.</w:t>
                  </w:r>
                </w:p>
              </w:tc>
            </w:tr>
          </w:tbl>
          <w:p w:rsidR="00EE62B7" w:rsidRDefault="00EE62B7">
            <w:pPr>
              <w:rPr>
                <w:rFonts w:ascii="Times New Roman" w:hAnsi="Times New Roman" w:cs="Times New Roman"/>
              </w:rPr>
            </w:pPr>
          </w:p>
        </w:tc>
      </w:tr>
    </w:tbl>
    <w:p w:rsidR="00DD3DD7" w:rsidRDefault="00DD3DD7">
      <w:pPr>
        <w:pStyle w:val="NormalWeb"/>
        <w:rPr>
          <w:rStyle w:val="Strong"/>
          <w:rFonts w:cs="Arial"/>
        </w:rPr>
      </w:pPr>
    </w:p>
    <w:p w:rsidR="00DD3DD7" w:rsidRDefault="00DD3DD7">
      <w:pPr>
        <w:pStyle w:val="NormalWeb"/>
        <w:rPr>
          <w:rStyle w:val="Strong"/>
          <w:rFonts w:cs="Arial"/>
        </w:rPr>
      </w:pPr>
    </w:p>
    <w:p w:rsidR="00DD3DD7" w:rsidRDefault="00DD3DD7">
      <w:pPr>
        <w:pStyle w:val="NormalWeb"/>
        <w:rPr>
          <w:rStyle w:val="Strong"/>
          <w:rFonts w:cs="Arial"/>
        </w:rPr>
      </w:pPr>
    </w:p>
    <w:p w:rsidR="00EE62B7" w:rsidRDefault="00EE62B7">
      <w:pPr>
        <w:pStyle w:val="NormalWeb"/>
      </w:pPr>
      <w:r>
        <w:rPr>
          <w:rStyle w:val="Strong"/>
          <w:rFonts w:cs="Arial"/>
        </w:rPr>
        <w:t>Recognising the attainment and progress of all pupils</w:t>
      </w:r>
    </w:p>
    <w:p w:rsidR="00EE62B7" w:rsidRDefault="00EE62B7">
      <w:pPr>
        <w:pStyle w:val="NormalWeb"/>
      </w:pPr>
      <w:r>
        <w:t xml:space="preserve">13 </w:t>
      </w:r>
      <w:r>
        <w:rPr>
          <w:rStyle w:val="Strong"/>
          <w:rFonts w:cs="Arial"/>
        </w:rPr>
        <w:t>What data could be published to hold schools (including special schools) accountable for the attainment and progress of the lowest-attaining pupils?</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9450"/>
      </w:tblGrid>
      <w:tr w:rsidR="00EE62B7">
        <w:trPr>
          <w:tblCellSpacing w:w="0" w:type="dxa"/>
        </w:trPr>
        <w:tc>
          <w:tcPr>
            <w:tcW w:w="0" w:type="auto"/>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374900"/>
                        <wp:effectExtent l="0" t="0" r="0" b="0"/>
                        <wp:docPr id="65" name="Picture 65" descr="D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Df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 cy="2374900"/>
                                </a:xfrm>
                                <a:prstGeom prst="rect">
                                  <a:avLst/>
                                </a:prstGeom>
                                <a:noFill/>
                                <a:ln>
                                  <a:noFill/>
                                </a:ln>
                              </pic:spPr>
                            </pic:pic>
                          </a:graphicData>
                        </a:graphic>
                      </wp:inline>
                    </w:drawing>
                  </w:r>
                </w:p>
              </w:tc>
              <w:tc>
                <w:tcPr>
                  <w:tcW w:w="0" w:type="auto"/>
                </w:tcPr>
                <w:p w:rsidR="00EE62B7" w:rsidRDefault="00EE62B7">
                  <w:r>
                    <w:t>Comments:</w:t>
                  </w:r>
                </w:p>
                <w:p w:rsidR="00EE62B7" w:rsidRDefault="00EE62B7">
                  <w:r>
                    <w:t>The LA would support the retaining of P scales, and the reporting of progress for these pupils in relation to the progression guidance.</w:t>
                  </w:r>
                </w:p>
              </w:tc>
            </w:tr>
          </w:tbl>
          <w:p w:rsidR="00EE62B7" w:rsidRDefault="00EE62B7">
            <w:pPr>
              <w:rPr>
                <w:rFonts w:ascii="Times New Roman" w:hAnsi="Times New Roman" w:cs="Times New Roman"/>
              </w:rPr>
            </w:pPr>
          </w:p>
        </w:tc>
      </w:tr>
    </w:tbl>
    <w:p w:rsidR="00EE62B7" w:rsidRDefault="00EE62B7" w:rsidP="007B3389">
      <w:r>
        <w:rPr>
          <w:rFonts w:ascii="Times New Roman" w:hAnsi="Times New Roman" w:cs="Times New Roman"/>
        </w:rPr>
        <w:br w:type="textWrapping" w:clear="all"/>
      </w:r>
    </w:p>
    <w:p w:rsidR="00EE62B7" w:rsidRDefault="00EE62B7" w:rsidP="007B3389"/>
    <w:p w:rsidR="00EE62B7" w:rsidRDefault="00EE62B7" w:rsidP="007B3389"/>
    <w:p w:rsidR="00EE62B7" w:rsidRDefault="00EE62B7" w:rsidP="007B3389"/>
    <w:p w:rsidR="00EE62B7" w:rsidRPr="007B3389" w:rsidRDefault="00EE62B7" w:rsidP="007B3389">
      <w:pPr>
        <w:rPr>
          <w:rFonts w:ascii="Times New Roman" w:hAnsi="Times New Roman" w:cs="Times New Roman"/>
        </w:rPr>
      </w:pPr>
      <w:r>
        <w:t>Thank you for taking the time to let us have your views. We do not intend to acknowledge individual responses unless you place an 'X' in the box below.</w:t>
      </w:r>
      <w:r>
        <w:br/>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0A0" w:firstRow="1" w:lastRow="0" w:firstColumn="1" w:lastColumn="0" w:noHBand="0" w:noVBand="0"/>
      </w:tblPr>
      <w:tblGrid>
        <w:gridCol w:w="8937"/>
        <w:gridCol w:w="453"/>
      </w:tblGrid>
      <w:tr w:rsidR="00EE62B7">
        <w:trPr>
          <w:tblCellSpacing w:w="0" w:type="dxa"/>
        </w:trPr>
        <w:tc>
          <w:tcPr>
            <w:tcW w:w="0" w:type="auto"/>
            <w:tcBorders>
              <w:top w:val="outset" w:sz="6" w:space="0" w:color="000000"/>
              <w:bottom w:val="outset" w:sz="6" w:space="0" w:color="000000"/>
              <w:right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8886"/>
            </w:tblGrid>
            <w:tr w:rsidR="00EE62B7">
              <w:trPr>
                <w:trHeight w:val="450"/>
                <w:tblCellSpacing w:w="0" w:type="dxa"/>
              </w:trPr>
              <w:tc>
                <w:tcPr>
                  <w:tcW w:w="15" w:type="dxa"/>
                  <w:shd w:val="clear" w:color="auto" w:fill="FFFFFF"/>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66" name="Picture 66" descr="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Text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shd w:val="clear" w:color="auto" w:fill="FFFFFF"/>
                  <w:vAlign w:val="center"/>
                </w:tcPr>
                <w:p w:rsidR="00EE62B7" w:rsidRDefault="00EE62B7">
                  <w:r>
                    <w:rPr>
                      <w:b/>
                      <w:bCs/>
                    </w:rPr>
                    <w:t>Please acknowledge this reply.</w:t>
                  </w:r>
                </w:p>
              </w:tc>
            </w:tr>
          </w:tbl>
          <w:p w:rsidR="00EE62B7" w:rsidRDefault="00EE62B7">
            <w:pPr>
              <w:rPr>
                <w:rFonts w:ascii="Times New Roman" w:hAnsi="Times New Roman" w:cs="Times New Roman"/>
              </w:rPr>
            </w:pPr>
          </w:p>
        </w:tc>
        <w:tc>
          <w:tcPr>
            <w:tcW w:w="450" w:type="dxa"/>
            <w:tcBorders>
              <w:top w:val="outset" w:sz="6" w:space="0" w:color="000000"/>
              <w:left w:val="outset" w:sz="6" w:space="0" w:color="000000"/>
              <w:bottom w:val="outset" w:sz="6" w:space="0" w:color="000000"/>
            </w:tcBorders>
            <w:vAlign w:val="center"/>
          </w:tcPr>
          <w:p w:rsidR="00EE62B7" w:rsidRDefault="00EE62B7">
            <w:pPr>
              <w:jc w:val="center"/>
            </w:pPr>
            <w:r>
              <w:t>√</w:t>
            </w:r>
          </w:p>
        </w:tc>
      </w:tr>
      <w:tr w:rsidR="00EE62B7">
        <w:trPr>
          <w:tblCellSpacing w:w="0" w:type="dxa"/>
        </w:trPr>
        <w:tc>
          <w:tcPr>
            <w:tcW w:w="0" w:type="auto"/>
            <w:gridSpan w:val="2"/>
            <w:tcBorders>
              <w:top w:val="outset" w:sz="6" w:space="0" w:color="000000"/>
              <w:bottom w:val="outset" w:sz="6" w:space="0" w:color="000000"/>
            </w:tcBorders>
          </w:tcPr>
          <w:tbl>
            <w:tblPr>
              <w:tblW w:w="5000" w:type="pct"/>
              <w:tblCellSpacing w:w="0" w:type="dxa"/>
              <w:tblCellMar>
                <w:left w:w="0" w:type="dxa"/>
                <w:right w:w="0" w:type="dxa"/>
              </w:tblCellMar>
              <w:tblLook w:val="00A0" w:firstRow="1" w:lastRow="0" w:firstColumn="1" w:lastColumn="0" w:noHBand="0" w:noVBand="0"/>
            </w:tblPr>
            <w:tblGrid>
              <w:gridCol w:w="21"/>
              <w:gridCol w:w="9339"/>
            </w:tblGrid>
            <w:tr w:rsidR="00EE62B7">
              <w:trPr>
                <w:trHeight w:val="450"/>
                <w:tblCellSpacing w:w="0" w:type="dxa"/>
              </w:trPr>
              <w:tc>
                <w:tcPr>
                  <w:tcW w:w="15" w:type="dxa"/>
                  <w:shd w:val="clear" w:color="auto" w:fill="FFFFFF"/>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273050"/>
                        <wp:effectExtent l="0" t="0" r="0" b="0"/>
                        <wp:docPr id="67" name="Picture 67" descr="Text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TextBox"/>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335" cy="273050"/>
                                </a:xfrm>
                                <a:prstGeom prst="rect">
                                  <a:avLst/>
                                </a:prstGeom>
                                <a:noFill/>
                                <a:ln>
                                  <a:noFill/>
                                </a:ln>
                              </pic:spPr>
                            </pic:pic>
                          </a:graphicData>
                        </a:graphic>
                      </wp:inline>
                    </w:drawing>
                  </w:r>
                </w:p>
              </w:tc>
              <w:tc>
                <w:tcPr>
                  <w:tcW w:w="0" w:type="auto"/>
                  <w:shd w:val="clear" w:color="auto" w:fill="FFFFFF"/>
                  <w:vAlign w:val="center"/>
                </w:tcPr>
                <w:p w:rsidR="00EE62B7" w:rsidRDefault="00EE62B7">
                  <w:r>
                    <w:t>E-mail address for acknowledgement:</w:t>
                  </w:r>
                </w:p>
              </w:tc>
            </w:tr>
          </w:tbl>
          <w:p w:rsidR="00EE62B7" w:rsidRDefault="00EE62B7">
            <w:pPr>
              <w:rPr>
                <w:rFonts w:ascii="Times New Roman" w:hAnsi="Times New Roman" w:cs="Times New Roman"/>
              </w:rPr>
            </w:pPr>
          </w:p>
        </w:tc>
      </w:tr>
    </w:tbl>
    <w:p w:rsidR="00EE62B7" w:rsidRDefault="00EE62B7">
      <w:pPr>
        <w:pStyle w:val="NormalWeb"/>
      </w:pPr>
      <w:r>
        <w:t>Here at the Department for Education we carry out our research on many different topics and consultations. As your views are valuable to us, please confirm below if you would be willing to be contacted again from time to time either for research or to send through consultation documents?</w:t>
      </w:r>
    </w:p>
    <w:tbl>
      <w:tblPr>
        <w:tblW w:w="5000" w:type="pct"/>
        <w:tblCellSpacing w:w="0" w:type="dxa"/>
        <w:tblCellMar>
          <w:top w:w="30" w:type="dxa"/>
          <w:left w:w="30" w:type="dxa"/>
          <w:bottom w:w="30" w:type="dxa"/>
          <w:right w:w="30" w:type="dxa"/>
        </w:tblCellMar>
        <w:tblLook w:val="00A0" w:firstRow="1" w:lastRow="0" w:firstColumn="1" w:lastColumn="0" w:noHBand="0" w:noVBand="0"/>
      </w:tblPr>
      <w:tblGrid>
        <w:gridCol w:w="616"/>
        <w:gridCol w:w="4274"/>
        <w:gridCol w:w="616"/>
        <w:gridCol w:w="3914"/>
      </w:tblGrid>
      <w:tr w:rsidR="00EE62B7">
        <w:trPr>
          <w:tblCellSpacing w:w="0" w:type="dxa"/>
        </w:trPr>
        <w:tc>
          <w:tcPr>
            <w:tcW w:w="450" w:type="dxa"/>
            <w:shd w:val="clear" w:color="auto" w:fill="BBCBD3"/>
            <w:vAlign w:val="center"/>
          </w:tcPr>
          <w:tbl>
            <w:tblPr>
              <w:tblW w:w="450" w:type="dxa"/>
              <w:jc w:val="center"/>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68" name="Picture 68"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r>
                          <w:t>√</w:t>
                        </w:r>
                      </w:p>
                    </w:tc>
                  </w:tr>
                </w:tbl>
                <w:p w:rsidR="00EE62B7" w:rsidRDefault="00EE62B7">
                  <w:pPr>
                    <w:rPr>
                      <w:rFonts w:ascii="Times New Roman" w:hAnsi="Times New Roman" w:cs="Times New Roman"/>
                    </w:rPr>
                  </w:pPr>
                </w:p>
              </w:tc>
            </w:tr>
          </w:tbl>
          <w:p w:rsidR="00EE62B7" w:rsidRDefault="00EE62B7">
            <w:pPr>
              <w:jc w:val="center"/>
              <w:rPr>
                <w:rFonts w:ascii="Times New Roman" w:hAnsi="Times New Roman" w:cs="Times New Roman"/>
              </w:rPr>
            </w:pPr>
          </w:p>
        </w:tc>
        <w:tc>
          <w:tcPr>
            <w:tcW w:w="0" w:type="auto"/>
            <w:shd w:val="clear" w:color="auto" w:fill="BBCBD3"/>
            <w:vAlign w:val="center"/>
          </w:tcPr>
          <w:p w:rsidR="00EE62B7" w:rsidRDefault="00EE62B7">
            <w:r>
              <w:t>Yes</w:t>
            </w:r>
          </w:p>
        </w:tc>
        <w:tc>
          <w:tcPr>
            <w:tcW w:w="450" w:type="dxa"/>
            <w:shd w:val="clear" w:color="auto" w:fill="BBCBD3"/>
            <w:vAlign w:val="center"/>
          </w:tcPr>
          <w:tbl>
            <w:tblPr>
              <w:tblW w:w="450" w:type="dxa"/>
              <w:jc w:val="center"/>
              <w:tblCellSpacing w:w="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0A0" w:firstRow="1" w:lastRow="0" w:firstColumn="1" w:lastColumn="0" w:noHBand="0" w:noVBand="0"/>
            </w:tblPr>
            <w:tblGrid>
              <w:gridCol w:w="540"/>
            </w:tblGrid>
            <w:tr w:rsidR="00EE62B7">
              <w:trPr>
                <w:tblCellSpacing w:w="0" w:type="dxa"/>
                <w:jc w:val="center"/>
              </w:trPr>
              <w:tc>
                <w:tcPr>
                  <w:tcW w:w="0" w:type="auto"/>
                  <w:tcBorders>
                    <w:top w:val="outset" w:sz="6" w:space="0" w:color="000000"/>
                    <w:left w:val="outset" w:sz="6" w:space="0" w:color="000000"/>
                    <w:bottom w:val="outset" w:sz="6" w:space="0" w:color="000000"/>
                    <w:right w:val="outset" w:sz="6" w:space="0" w:color="000000"/>
                  </w:tcBorders>
                  <w:shd w:val="clear" w:color="auto" w:fill="FFFFFF"/>
                </w:tcPr>
                <w:tbl>
                  <w:tblPr>
                    <w:tblW w:w="450" w:type="dxa"/>
                    <w:tblCellSpacing w:w="0" w:type="dxa"/>
                    <w:tblCellMar>
                      <w:left w:w="0" w:type="dxa"/>
                      <w:right w:w="0" w:type="dxa"/>
                    </w:tblCellMar>
                    <w:tblLook w:val="00A0" w:firstRow="1" w:lastRow="0" w:firstColumn="1" w:lastColumn="0" w:noHBand="0" w:noVBand="0"/>
                  </w:tblPr>
                  <w:tblGrid>
                    <w:gridCol w:w="21"/>
                    <w:gridCol w:w="429"/>
                  </w:tblGrid>
                  <w:tr w:rsidR="00EE62B7">
                    <w:trPr>
                      <w:tblCellSpacing w:w="0" w:type="dxa"/>
                    </w:trPr>
                    <w:tc>
                      <w:tcPr>
                        <w:tcW w:w="15" w:type="dxa"/>
                        <w:vAlign w:val="center"/>
                      </w:tcPr>
                      <w:p w:rsidR="00EE62B7" w:rsidRDefault="00DD3DD7">
                        <w:pPr>
                          <w:rPr>
                            <w:rFonts w:ascii="Times New Roman" w:hAnsi="Times New Roman" w:cs="Times New Roman"/>
                          </w:rPr>
                        </w:pPr>
                        <w:r>
                          <w:rPr>
                            <w:rFonts w:ascii="Times New Roman" w:hAnsi="Times New Roman" w:cs="Times New Roman"/>
                            <w:noProof/>
                          </w:rPr>
                          <w:drawing>
                            <wp:inline distT="0" distB="0" distL="0" distR="0">
                              <wp:extent cx="13335" cy="300355"/>
                              <wp:effectExtent l="0" t="0" r="0" b="0"/>
                              <wp:docPr id="69" name="Picture 69" descr="Check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heckbox"/>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335" cy="300355"/>
                                      </a:xfrm>
                                      <a:prstGeom prst="rect">
                                        <a:avLst/>
                                      </a:prstGeom>
                                      <a:noFill/>
                                      <a:ln>
                                        <a:noFill/>
                                      </a:ln>
                                    </pic:spPr>
                                  </pic:pic>
                                </a:graphicData>
                              </a:graphic>
                            </wp:inline>
                          </w:drawing>
                        </w:r>
                      </w:p>
                    </w:tc>
                    <w:tc>
                      <w:tcPr>
                        <w:tcW w:w="0" w:type="auto"/>
                        <w:vAlign w:val="center"/>
                      </w:tcPr>
                      <w:p w:rsidR="00EE62B7" w:rsidRDefault="00EE62B7">
                        <w:pPr>
                          <w:jc w:val="center"/>
                        </w:pPr>
                      </w:p>
                    </w:tc>
                  </w:tr>
                </w:tbl>
                <w:p w:rsidR="00EE62B7" w:rsidRDefault="00EE62B7">
                  <w:pPr>
                    <w:rPr>
                      <w:rFonts w:ascii="Times New Roman" w:hAnsi="Times New Roman" w:cs="Times New Roman"/>
                    </w:rPr>
                  </w:pPr>
                </w:p>
              </w:tc>
            </w:tr>
          </w:tbl>
          <w:p w:rsidR="00EE62B7" w:rsidRDefault="00EE62B7">
            <w:pPr>
              <w:jc w:val="center"/>
              <w:rPr>
                <w:rFonts w:ascii="Times New Roman" w:hAnsi="Times New Roman" w:cs="Times New Roman"/>
              </w:rPr>
            </w:pPr>
          </w:p>
        </w:tc>
        <w:tc>
          <w:tcPr>
            <w:tcW w:w="0" w:type="auto"/>
            <w:shd w:val="clear" w:color="auto" w:fill="BBCBD3"/>
            <w:vAlign w:val="center"/>
          </w:tcPr>
          <w:p w:rsidR="00EE62B7" w:rsidRDefault="00EE62B7">
            <w:r>
              <w:t>No </w:t>
            </w:r>
          </w:p>
        </w:tc>
      </w:tr>
    </w:tbl>
    <w:p w:rsidR="00EE62B7" w:rsidRDefault="00EE62B7">
      <w:pPr>
        <w:pStyle w:val="NormalWeb"/>
      </w:pPr>
      <w:r>
        <w:t xml:space="preserve">All DfE public consultations are required to meet the Cabinet Office </w:t>
      </w:r>
      <w:hyperlink r:id="rId15" w:tgtFrame="_blank" w:history="1">
        <w:r>
          <w:rPr>
            <w:rStyle w:val="Hyperlink"/>
            <w:rFonts w:cs="Arial"/>
          </w:rPr>
          <w:t>Principles on Consultation</w:t>
        </w:r>
      </w:hyperlink>
    </w:p>
    <w:p w:rsidR="00EE62B7" w:rsidRDefault="00EE62B7">
      <w:pPr>
        <w:pStyle w:val="NormalWeb"/>
      </w:pPr>
      <w:r>
        <w:t>The key Consultation Principles are:</w:t>
      </w:r>
    </w:p>
    <w:p w:rsidR="00EE62B7" w:rsidRDefault="00EE62B7">
      <w:pPr>
        <w:numPr>
          <w:ilvl w:val="0"/>
          <w:numId w:val="1"/>
        </w:numPr>
        <w:spacing w:before="100" w:beforeAutospacing="1" w:after="100" w:afterAutospacing="1"/>
      </w:pPr>
      <w:r>
        <w:t>departments will follow a range of timescales rather than defaulting to a 12-week period, particularly where extensive engagement has occurred before</w:t>
      </w:r>
    </w:p>
    <w:p w:rsidR="00EE62B7" w:rsidRDefault="00EE62B7">
      <w:pPr>
        <w:numPr>
          <w:ilvl w:val="0"/>
          <w:numId w:val="1"/>
        </w:numPr>
        <w:spacing w:before="100" w:beforeAutospacing="1" w:after="100" w:afterAutospacing="1"/>
      </w:pPr>
      <w:r>
        <w:t>departments will need to give more thought to how they engage with and consult with those who are affected</w:t>
      </w:r>
    </w:p>
    <w:p w:rsidR="00EE62B7" w:rsidRDefault="00EE62B7">
      <w:pPr>
        <w:numPr>
          <w:ilvl w:val="0"/>
          <w:numId w:val="1"/>
        </w:numPr>
        <w:spacing w:before="100" w:beforeAutospacing="1" w:after="100" w:afterAutospacing="1"/>
      </w:pPr>
      <w:r>
        <w:t>consultation should be ‘digital by default', but other forms should be used where these are needed to reach the groups affected by a policy; and</w:t>
      </w:r>
    </w:p>
    <w:p w:rsidR="00EE62B7" w:rsidRDefault="00EE62B7">
      <w:pPr>
        <w:numPr>
          <w:ilvl w:val="0"/>
          <w:numId w:val="1"/>
        </w:numPr>
        <w:spacing w:before="100" w:beforeAutospacing="1" w:after="100" w:afterAutospacing="1"/>
      </w:pPr>
      <w:r>
        <w:t xml:space="preserve">the principles of the Compact between government and the voluntary and community sector will continue to be respected. </w:t>
      </w:r>
    </w:p>
    <w:p w:rsidR="00EE62B7" w:rsidRDefault="00EE62B7">
      <w:pPr>
        <w:pStyle w:val="NormalWeb"/>
      </w:pPr>
      <w:r>
        <w:t xml:space="preserve">Responses should be completed on-line or emailed to the relevant consultation email box. However, if you have any comments on how DfE consultations are conducted, please contact Carole Edge, DfE Consultation Coordinator, tel: 0370 000 2288 / email: </w:t>
      </w:r>
      <w:hyperlink r:id="rId16" w:history="1">
        <w:r>
          <w:rPr>
            <w:rStyle w:val="Hyperlink"/>
            <w:rFonts w:cs="Arial"/>
          </w:rPr>
          <w:t>carole.edge@education.gsi.gov.uk</w:t>
        </w:r>
      </w:hyperlink>
    </w:p>
    <w:p w:rsidR="00EE62B7" w:rsidRDefault="00EE62B7">
      <w:pPr>
        <w:pStyle w:val="NormalWeb"/>
        <w:jc w:val="center"/>
      </w:pPr>
      <w:r>
        <w:rPr>
          <w:b/>
          <w:bCs/>
        </w:rPr>
        <w:t>Thank you for taking time to respond to this consultation.</w:t>
      </w:r>
    </w:p>
    <w:p w:rsidR="00EE62B7" w:rsidRDefault="00EE62B7">
      <w:pPr>
        <w:pStyle w:val="NormalWeb"/>
      </w:pPr>
    </w:p>
    <w:p w:rsidR="00EE62B7" w:rsidRDefault="00EE62B7">
      <w:pPr>
        <w:pStyle w:val="NormalWeb"/>
      </w:pPr>
    </w:p>
    <w:p w:rsidR="00EE62B7" w:rsidRDefault="00EE62B7">
      <w:pPr>
        <w:pStyle w:val="NormalWeb"/>
      </w:pPr>
    </w:p>
    <w:p w:rsidR="00EE62B7" w:rsidRDefault="00EE62B7">
      <w:pPr>
        <w:pStyle w:val="NormalWeb"/>
      </w:pPr>
    </w:p>
    <w:p w:rsidR="00EE62B7" w:rsidRDefault="00EE62B7">
      <w:pPr>
        <w:pStyle w:val="NormalWeb"/>
      </w:pPr>
    </w:p>
    <w:p w:rsidR="00EE62B7" w:rsidRDefault="00EE62B7">
      <w:pPr>
        <w:pStyle w:val="NormalWeb"/>
      </w:pPr>
      <w:r>
        <w:t>Completed responses should be sent to the address shown below by 11 October 2013</w:t>
      </w:r>
    </w:p>
    <w:p w:rsidR="00EE62B7" w:rsidRDefault="00EE62B7">
      <w:pPr>
        <w:pStyle w:val="NormalWeb"/>
      </w:pPr>
      <w:r>
        <w:t>Send by post to</w:t>
      </w:r>
      <w:r>
        <w:br/>
        <w:t>Sue White / Jennifer Conlon</w:t>
      </w:r>
      <w:r>
        <w:br/>
        <w:t>Assessment Team</w:t>
      </w:r>
      <w:r>
        <w:br/>
        <w:t>Qualifications and Assessment Division</w:t>
      </w:r>
      <w:r>
        <w:br/>
        <w:t>Department for Education</w:t>
      </w:r>
      <w:r>
        <w:br/>
        <w:t>Level 2</w:t>
      </w:r>
      <w:r>
        <w:br/>
        <w:t>Sanctuary Buildings</w:t>
      </w:r>
      <w:r>
        <w:br/>
        <w:t xml:space="preserve">Great Smith Street </w:t>
      </w:r>
      <w:r>
        <w:br/>
        <w:t xml:space="preserve">London </w:t>
      </w:r>
      <w:r>
        <w:br/>
        <w:t>SW1P 3BT</w:t>
      </w:r>
    </w:p>
    <w:p w:rsidR="00EE62B7" w:rsidRDefault="00EE62B7">
      <w:pPr>
        <w:pStyle w:val="NormalWeb"/>
      </w:pPr>
      <w:r>
        <w:t>Send by e-mail to:</w:t>
      </w:r>
      <w:hyperlink r:id="rId17" w:history="1">
        <w:r>
          <w:rPr>
            <w:rStyle w:val="Hyperlink"/>
            <w:rFonts w:cs="Arial"/>
          </w:rPr>
          <w:t>PrimaryAssessment.CONSULTATION@education.gsi.gov.uk</w:t>
        </w:r>
      </w:hyperlink>
    </w:p>
    <w:sectPr w:rsidR="00EE62B7" w:rsidSect="0096576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0D94"/>
    <w:multiLevelType w:val="hybridMultilevel"/>
    <w:tmpl w:val="16DEC8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69243C6"/>
    <w:multiLevelType w:val="hybridMultilevel"/>
    <w:tmpl w:val="8064E49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500764F2"/>
    <w:multiLevelType w:val="multilevel"/>
    <w:tmpl w:val="DECCD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86166D"/>
    <w:multiLevelType w:val="hybridMultilevel"/>
    <w:tmpl w:val="FDF077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A20"/>
    <w:rsid w:val="000248EE"/>
    <w:rsid w:val="000650C7"/>
    <w:rsid w:val="00081A3E"/>
    <w:rsid w:val="00127613"/>
    <w:rsid w:val="00162C63"/>
    <w:rsid w:val="002144A4"/>
    <w:rsid w:val="002D2C2A"/>
    <w:rsid w:val="002F6BB7"/>
    <w:rsid w:val="0033000E"/>
    <w:rsid w:val="003B5FE0"/>
    <w:rsid w:val="00485A90"/>
    <w:rsid w:val="00537CDB"/>
    <w:rsid w:val="005D41E2"/>
    <w:rsid w:val="005D7BD0"/>
    <w:rsid w:val="005E0D8F"/>
    <w:rsid w:val="005E166B"/>
    <w:rsid w:val="00625653"/>
    <w:rsid w:val="00636AF2"/>
    <w:rsid w:val="00681CEA"/>
    <w:rsid w:val="006E4325"/>
    <w:rsid w:val="006F09DD"/>
    <w:rsid w:val="006F6982"/>
    <w:rsid w:val="007303B2"/>
    <w:rsid w:val="00774CAB"/>
    <w:rsid w:val="007B3389"/>
    <w:rsid w:val="007B5408"/>
    <w:rsid w:val="007F000F"/>
    <w:rsid w:val="0080046D"/>
    <w:rsid w:val="008E029B"/>
    <w:rsid w:val="008E0CBE"/>
    <w:rsid w:val="009034F3"/>
    <w:rsid w:val="00965769"/>
    <w:rsid w:val="009860B9"/>
    <w:rsid w:val="009A64E1"/>
    <w:rsid w:val="009B0B24"/>
    <w:rsid w:val="009C4FCC"/>
    <w:rsid w:val="009E450D"/>
    <w:rsid w:val="009F5863"/>
    <w:rsid w:val="009F7D46"/>
    <w:rsid w:val="00A0348B"/>
    <w:rsid w:val="00A25937"/>
    <w:rsid w:val="00A82C0E"/>
    <w:rsid w:val="00AA60BC"/>
    <w:rsid w:val="00AA7E25"/>
    <w:rsid w:val="00AB74F1"/>
    <w:rsid w:val="00AE7033"/>
    <w:rsid w:val="00B03A72"/>
    <w:rsid w:val="00B350A8"/>
    <w:rsid w:val="00B8454A"/>
    <w:rsid w:val="00C66C38"/>
    <w:rsid w:val="00CA18F9"/>
    <w:rsid w:val="00D62353"/>
    <w:rsid w:val="00D84A9E"/>
    <w:rsid w:val="00DA0BDC"/>
    <w:rsid w:val="00DB12A7"/>
    <w:rsid w:val="00DD3DD7"/>
    <w:rsid w:val="00E01A20"/>
    <w:rsid w:val="00E976AF"/>
    <w:rsid w:val="00EE62B7"/>
    <w:rsid w:val="00FF38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769"/>
    <w:rPr>
      <w:rFonts w:ascii="Arial" w:eastAsia="Times New Roman" w:hAnsi="Arial" w:cs="Arial"/>
      <w:sz w:val="24"/>
      <w:szCs w:val="24"/>
    </w:rPr>
  </w:style>
  <w:style w:type="paragraph" w:styleId="Heading1">
    <w:name w:val="heading 1"/>
    <w:basedOn w:val="Normal"/>
    <w:link w:val="Heading1Char"/>
    <w:uiPriority w:val="99"/>
    <w:qFormat/>
    <w:rsid w:val="00965769"/>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5769"/>
    <w:rPr>
      <w:rFonts w:ascii="Cambria" w:hAnsi="Cambria" w:cs="Times New Roman"/>
      <w:b/>
      <w:bCs/>
      <w:color w:val="365F91"/>
      <w:sz w:val="28"/>
      <w:szCs w:val="28"/>
      <w:lang w:eastAsia="en-GB"/>
    </w:rPr>
  </w:style>
  <w:style w:type="character" w:styleId="Hyperlink">
    <w:name w:val="Hyperlink"/>
    <w:basedOn w:val="DefaultParagraphFont"/>
    <w:uiPriority w:val="99"/>
    <w:rsid w:val="00965769"/>
    <w:rPr>
      <w:rFonts w:cs="Times New Roman"/>
      <w:color w:val="0000FF"/>
      <w:u w:val="single"/>
    </w:rPr>
  </w:style>
  <w:style w:type="character" w:styleId="FollowedHyperlink">
    <w:name w:val="FollowedHyperlink"/>
    <w:basedOn w:val="DefaultParagraphFont"/>
    <w:uiPriority w:val="99"/>
    <w:semiHidden/>
    <w:rsid w:val="00965769"/>
    <w:rPr>
      <w:rFonts w:cs="Times New Roman"/>
      <w:color w:val="800080"/>
      <w:u w:val="single"/>
    </w:rPr>
  </w:style>
  <w:style w:type="paragraph" w:styleId="NormalWeb">
    <w:name w:val="Normal (Web)"/>
    <w:basedOn w:val="Normal"/>
    <w:uiPriority w:val="99"/>
    <w:rsid w:val="00965769"/>
    <w:pPr>
      <w:spacing w:before="100" w:beforeAutospacing="1" w:after="100" w:afterAutospacing="1"/>
    </w:pPr>
  </w:style>
  <w:style w:type="paragraph" w:styleId="BalloonText">
    <w:name w:val="Balloon Text"/>
    <w:basedOn w:val="Normal"/>
    <w:link w:val="BalloonTextChar"/>
    <w:uiPriority w:val="99"/>
    <w:semiHidden/>
    <w:rsid w:val="009657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5769"/>
    <w:rPr>
      <w:rFonts w:ascii="Tahoma" w:hAnsi="Tahoma" w:cs="Tahoma"/>
      <w:sz w:val="16"/>
      <w:szCs w:val="16"/>
      <w:lang w:eastAsia="en-GB"/>
    </w:rPr>
  </w:style>
  <w:style w:type="paragraph" w:customStyle="1" w:styleId="DeptOutNumbered">
    <w:name w:val="DeptOutNumbered"/>
    <w:basedOn w:val="Normal"/>
    <w:uiPriority w:val="99"/>
    <w:rsid w:val="00965769"/>
    <w:pPr>
      <w:widowControl w:val="0"/>
      <w:tabs>
        <w:tab w:val="num" w:pos="720"/>
      </w:tabs>
      <w:overflowPunct w:val="0"/>
      <w:autoSpaceDE w:val="0"/>
      <w:autoSpaceDN w:val="0"/>
      <w:adjustRightInd w:val="0"/>
      <w:spacing w:after="240"/>
    </w:pPr>
    <w:rPr>
      <w:rFonts w:cs="Times New Roman"/>
      <w:szCs w:val="20"/>
      <w:lang w:eastAsia="en-US"/>
    </w:rPr>
  </w:style>
  <w:style w:type="paragraph" w:customStyle="1" w:styleId="deptoutnumbered0">
    <w:name w:val="deptoutnumbered"/>
    <w:basedOn w:val="Normal"/>
    <w:uiPriority w:val="99"/>
    <w:rsid w:val="00965769"/>
    <w:pPr>
      <w:overflowPunct w:val="0"/>
      <w:autoSpaceDE w:val="0"/>
      <w:autoSpaceDN w:val="0"/>
      <w:spacing w:after="240"/>
    </w:pPr>
  </w:style>
  <w:style w:type="character" w:styleId="Strong">
    <w:name w:val="Strong"/>
    <w:basedOn w:val="DefaultParagraphFont"/>
    <w:uiPriority w:val="99"/>
    <w:qFormat/>
    <w:rsid w:val="00965769"/>
    <w:rPr>
      <w:rFonts w:cs="Times New Roman"/>
      <w:b/>
      <w:bCs/>
    </w:rPr>
  </w:style>
  <w:style w:type="paragraph" w:styleId="ListParagraph">
    <w:name w:val="List Paragraph"/>
    <w:basedOn w:val="Normal"/>
    <w:uiPriority w:val="99"/>
    <w:qFormat/>
    <w:rsid w:val="0080046D"/>
    <w:pPr>
      <w:ind w:left="720"/>
      <w:contextualSpacing/>
    </w:pPr>
  </w:style>
  <w:style w:type="character" w:styleId="CommentReference">
    <w:name w:val="annotation reference"/>
    <w:basedOn w:val="DefaultParagraphFont"/>
    <w:uiPriority w:val="99"/>
    <w:semiHidden/>
    <w:rsid w:val="0033000E"/>
    <w:rPr>
      <w:rFonts w:cs="Times New Roman"/>
      <w:sz w:val="16"/>
      <w:szCs w:val="16"/>
    </w:rPr>
  </w:style>
  <w:style w:type="paragraph" w:styleId="CommentText">
    <w:name w:val="annotation text"/>
    <w:basedOn w:val="Normal"/>
    <w:link w:val="CommentTextChar"/>
    <w:uiPriority w:val="99"/>
    <w:semiHidden/>
    <w:rsid w:val="0033000E"/>
    <w:rPr>
      <w:sz w:val="20"/>
      <w:szCs w:val="20"/>
    </w:rPr>
  </w:style>
  <w:style w:type="character" w:customStyle="1" w:styleId="CommentTextChar">
    <w:name w:val="Comment Text Char"/>
    <w:basedOn w:val="DefaultParagraphFont"/>
    <w:link w:val="CommentText"/>
    <w:uiPriority w:val="99"/>
    <w:semiHidden/>
    <w:locked/>
    <w:rPr>
      <w:rFonts w:ascii="Arial" w:hAnsi="Arial" w:cs="Arial"/>
      <w:sz w:val="20"/>
      <w:szCs w:val="20"/>
    </w:rPr>
  </w:style>
  <w:style w:type="paragraph" w:styleId="CommentSubject">
    <w:name w:val="annotation subject"/>
    <w:basedOn w:val="CommentText"/>
    <w:next w:val="CommentText"/>
    <w:link w:val="CommentSubjectChar"/>
    <w:uiPriority w:val="99"/>
    <w:semiHidden/>
    <w:rsid w:val="0033000E"/>
    <w:rPr>
      <w:b/>
      <w:bCs/>
    </w:rPr>
  </w:style>
  <w:style w:type="character" w:customStyle="1" w:styleId="CommentSubjectChar">
    <w:name w:val="Comment Subject Char"/>
    <w:basedOn w:val="CommentTextChar"/>
    <w:link w:val="CommentSubject"/>
    <w:uiPriority w:val="99"/>
    <w:semiHidden/>
    <w:locked/>
    <w:rPr>
      <w:rFonts w:ascii="Arial" w:hAnsi="Arial" w:cs="Arial"/>
      <w:b/>
      <w:bCs/>
      <w:sz w:val="20"/>
      <w:szCs w:val="20"/>
    </w:rPr>
  </w:style>
  <w:style w:type="paragraph" w:styleId="Revision">
    <w:name w:val="Revision"/>
    <w:hidden/>
    <w:uiPriority w:val="99"/>
    <w:semiHidden/>
    <w:rsid w:val="009034F3"/>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769"/>
    <w:rPr>
      <w:rFonts w:ascii="Arial" w:eastAsia="Times New Roman" w:hAnsi="Arial" w:cs="Arial"/>
      <w:sz w:val="24"/>
      <w:szCs w:val="24"/>
    </w:rPr>
  </w:style>
  <w:style w:type="paragraph" w:styleId="Heading1">
    <w:name w:val="heading 1"/>
    <w:basedOn w:val="Normal"/>
    <w:link w:val="Heading1Char"/>
    <w:uiPriority w:val="99"/>
    <w:qFormat/>
    <w:rsid w:val="00965769"/>
    <w:pPr>
      <w:spacing w:before="100" w:beforeAutospacing="1" w:after="100" w:afterAutospacing="1"/>
      <w:outlineLvl w:val="0"/>
    </w:pPr>
    <w:rPr>
      <w:rFonts w:ascii="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5769"/>
    <w:rPr>
      <w:rFonts w:ascii="Cambria" w:hAnsi="Cambria" w:cs="Times New Roman"/>
      <w:b/>
      <w:bCs/>
      <w:color w:val="365F91"/>
      <w:sz w:val="28"/>
      <w:szCs w:val="28"/>
      <w:lang w:eastAsia="en-GB"/>
    </w:rPr>
  </w:style>
  <w:style w:type="character" w:styleId="Hyperlink">
    <w:name w:val="Hyperlink"/>
    <w:basedOn w:val="DefaultParagraphFont"/>
    <w:uiPriority w:val="99"/>
    <w:rsid w:val="00965769"/>
    <w:rPr>
      <w:rFonts w:cs="Times New Roman"/>
      <w:color w:val="0000FF"/>
      <w:u w:val="single"/>
    </w:rPr>
  </w:style>
  <w:style w:type="character" w:styleId="FollowedHyperlink">
    <w:name w:val="FollowedHyperlink"/>
    <w:basedOn w:val="DefaultParagraphFont"/>
    <w:uiPriority w:val="99"/>
    <w:semiHidden/>
    <w:rsid w:val="00965769"/>
    <w:rPr>
      <w:rFonts w:cs="Times New Roman"/>
      <w:color w:val="800080"/>
      <w:u w:val="single"/>
    </w:rPr>
  </w:style>
  <w:style w:type="paragraph" w:styleId="NormalWeb">
    <w:name w:val="Normal (Web)"/>
    <w:basedOn w:val="Normal"/>
    <w:uiPriority w:val="99"/>
    <w:rsid w:val="00965769"/>
    <w:pPr>
      <w:spacing w:before="100" w:beforeAutospacing="1" w:after="100" w:afterAutospacing="1"/>
    </w:pPr>
  </w:style>
  <w:style w:type="paragraph" w:styleId="BalloonText">
    <w:name w:val="Balloon Text"/>
    <w:basedOn w:val="Normal"/>
    <w:link w:val="BalloonTextChar"/>
    <w:uiPriority w:val="99"/>
    <w:semiHidden/>
    <w:rsid w:val="0096576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5769"/>
    <w:rPr>
      <w:rFonts w:ascii="Tahoma" w:hAnsi="Tahoma" w:cs="Tahoma"/>
      <w:sz w:val="16"/>
      <w:szCs w:val="16"/>
      <w:lang w:eastAsia="en-GB"/>
    </w:rPr>
  </w:style>
  <w:style w:type="paragraph" w:customStyle="1" w:styleId="DeptOutNumbered">
    <w:name w:val="DeptOutNumbered"/>
    <w:basedOn w:val="Normal"/>
    <w:uiPriority w:val="99"/>
    <w:rsid w:val="00965769"/>
    <w:pPr>
      <w:widowControl w:val="0"/>
      <w:tabs>
        <w:tab w:val="num" w:pos="720"/>
      </w:tabs>
      <w:overflowPunct w:val="0"/>
      <w:autoSpaceDE w:val="0"/>
      <w:autoSpaceDN w:val="0"/>
      <w:adjustRightInd w:val="0"/>
      <w:spacing w:after="240"/>
    </w:pPr>
    <w:rPr>
      <w:rFonts w:cs="Times New Roman"/>
      <w:szCs w:val="20"/>
      <w:lang w:eastAsia="en-US"/>
    </w:rPr>
  </w:style>
  <w:style w:type="paragraph" w:customStyle="1" w:styleId="deptoutnumbered0">
    <w:name w:val="deptoutnumbered"/>
    <w:basedOn w:val="Normal"/>
    <w:uiPriority w:val="99"/>
    <w:rsid w:val="00965769"/>
    <w:pPr>
      <w:overflowPunct w:val="0"/>
      <w:autoSpaceDE w:val="0"/>
      <w:autoSpaceDN w:val="0"/>
      <w:spacing w:after="240"/>
    </w:pPr>
  </w:style>
  <w:style w:type="character" w:styleId="Strong">
    <w:name w:val="Strong"/>
    <w:basedOn w:val="DefaultParagraphFont"/>
    <w:uiPriority w:val="99"/>
    <w:qFormat/>
    <w:rsid w:val="00965769"/>
    <w:rPr>
      <w:rFonts w:cs="Times New Roman"/>
      <w:b/>
      <w:bCs/>
    </w:rPr>
  </w:style>
  <w:style w:type="paragraph" w:styleId="ListParagraph">
    <w:name w:val="List Paragraph"/>
    <w:basedOn w:val="Normal"/>
    <w:uiPriority w:val="99"/>
    <w:qFormat/>
    <w:rsid w:val="0080046D"/>
    <w:pPr>
      <w:ind w:left="720"/>
      <w:contextualSpacing/>
    </w:pPr>
  </w:style>
  <w:style w:type="character" w:styleId="CommentReference">
    <w:name w:val="annotation reference"/>
    <w:basedOn w:val="DefaultParagraphFont"/>
    <w:uiPriority w:val="99"/>
    <w:semiHidden/>
    <w:rsid w:val="0033000E"/>
    <w:rPr>
      <w:rFonts w:cs="Times New Roman"/>
      <w:sz w:val="16"/>
      <w:szCs w:val="16"/>
    </w:rPr>
  </w:style>
  <w:style w:type="paragraph" w:styleId="CommentText">
    <w:name w:val="annotation text"/>
    <w:basedOn w:val="Normal"/>
    <w:link w:val="CommentTextChar"/>
    <w:uiPriority w:val="99"/>
    <w:semiHidden/>
    <w:rsid w:val="0033000E"/>
    <w:rPr>
      <w:sz w:val="20"/>
      <w:szCs w:val="20"/>
    </w:rPr>
  </w:style>
  <w:style w:type="character" w:customStyle="1" w:styleId="CommentTextChar">
    <w:name w:val="Comment Text Char"/>
    <w:basedOn w:val="DefaultParagraphFont"/>
    <w:link w:val="CommentText"/>
    <w:uiPriority w:val="99"/>
    <w:semiHidden/>
    <w:locked/>
    <w:rPr>
      <w:rFonts w:ascii="Arial" w:hAnsi="Arial" w:cs="Arial"/>
      <w:sz w:val="20"/>
      <w:szCs w:val="20"/>
    </w:rPr>
  </w:style>
  <w:style w:type="paragraph" w:styleId="CommentSubject">
    <w:name w:val="annotation subject"/>
    <w:basedOn w:val="CommentText"/>
    <w:next w:val="CommentText"/>
    <w:link w:val="CommentSubjectChar"/>
    <w:uiPriority w:val="99"/>
    <w:semiHidden/>
    <w:rsid w:val="0033000E"/>
    <w:rPr>
      <w:b/>
      <w:bCs/>
    </w:rPr>
  </w:style>
  <w:style w:type="character" w:customStyle="1" w:styleId="CommentSubjectChar">
    <w:name w:val="Comment Subject Char"/>
    <w:basedOn w:val="CommentTextChar"/>
    <w:link w:val="CommentSubject"/>
    <w:uiPriority w:val="99"/>
    <w:semiHidden/>
    <w:locked/>
    <w:rPr>
      <w:rFonts w:ascii="Arial" w:hAnsi="Arial" w:cs="Arial"/>
      <w:b/>
      <w:bCs/>
      <w:sz w:val="20"/>
      <w:szCs w:val="20"/>
    </w:rPr>
  </w:style>
  <w:style w:type="paragraph" w:styleId="Revision">
    <w:name w:val="Revision"/>
    <w:hidden/>
    <w:uiPriority w:val="99"/>
    <w:semiHidden/>
    <w:rsid w:val="009034F3"/>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ucation.gov.uk/consultation/" TargetMode="External"/><Relationship Id="rId13" Type="http://schemas.openxmlformats.org/officeDocument/2006/relationships/hyperlink" Target="file:///C:\help\contactu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mailto:consultation.unit@education.gsi.gov.uk" TargetMode="External"/><Relationship Id="rId17" Type="http://schemas.openxmlformats.org/officeDocument/2006/relationships/hyperlink" Target="mailto:PrimaryAssessment.CONSULTATION@education.gsi.gov.uk" TargetMode="External"/><Relationship Id="rId2" Type="http://schemas.openxmlformats.org/officeDocument/2006/relationships/numbering" Target="numbering.xml"/><Relationship Id="rId16" Type="http://schemas.openxmlformats.org/officeDocument/2006/relationships/hyperlink" Target="mailto:carole.edge@education.gsi.gov.u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www.cabinetoffice.gov.uk/resource-library/consultation-principles-guidance" TargetMode="External"/><Relationship Id="rId10" Type="http://schemas.openxmlformats.org/officeDocument/2006/relationships/image" Target="media/image3.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A32B5-CD14-4517-9C01-E0FDAF8B8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F81A4A87</Template>
  <TotalTime>1</TotalTime>
  <Pages>6</Pages>
  <Words>2580</Words>
  <Characters>14706</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Wandsworth Borough Council</Company>
  <LinksUpToDate>false</LinksUpToDate>
  <CharactersWithSpaces>17252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EDGE, Carole</dc:creator>
  <cp:lastModifiedBy>Salmon, Davina</cp:lastModifiedBy>
  <cp:revision>2</cp:revision>
  <cp:lastPrinted>2013-09-30T13:23:00Z</cp:lastPrinted>
  <dcterms:created xsi:type="dcterms:W3CDTF">2014-01-20T11:31:00Z</dcterms:created>
  <dcterms:modified xsi:type="dcterms:W3CDTF">2014-01-20T11:31:00Z</dcterms:modified>
</cp:coreProperties>
</file>